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20BF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CB80A3D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4B6DB19B" w14:textId="22AA86AE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C9F47" wp14:editId="2E9758E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0691E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C9F47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200691E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513AF3">
        <w:rPr>
          <w:rFonts w:ascii="標楷體" w:eastAsia="標楷體" w:hint="eastAsia"/>
          <w:b/>
          <w:color w:val="FF0000"/>
          <w:sz w:val="28"/>
        </w:rPr>
        <w:t>網球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513AF3" w:rsidRPr="00513AF3">
        <w:rPr>
          <w:rFonts w:ascii="標楷體" w:eastAsia="標楷體" w:hint="eastAsia"/>
          <w:b/>
          <w:color w:val="FF0000"/>
          <w:sz w:val="28"/>
        </w:rPr>
        <w:t>2026台維斯</w:t>
      </w:r>
      <w:proofErr w:type="gramStart"/>
      <w:r w:rsidR="00513AF3" w:rsidRPr="00513AF3">
        <w:rPr>
          <w:rFonts w:ascii="標楷體" w:eastAsia="標楷體" w:hint="eastAsia"/>
          <w:b/>
          <w:color w:val="FF0000"/>
          <w:sz w:val="28"/>
        </w:rPr>
        <w:t>盃</w:t>
      </w:r>
      <w:proofErr w:type="gramEnd"/>
      <w:r w:rsidR="00513AF3" w:rsidRPr="00513AF3">
        <w:rPr>
          <w:rFonts w:ascii="標楷體" w:eastAsia="標楷體" w:hint="eastAsia"/>
          <w:b/>
          <w:color w:val="FF0000"/>
          <w:sz w:val="28"/>
        </w:rPr>
        <w:t>國際男子網球團體錦標賽 世界一級升降賽中華台北VS 黎巴嫩轉播案(未達公告金額/有執照)</w:t>
      </w:r>
      <w:r w:rsidR="001D36FF" w:rsidRPr="00513AF3">
        <w:rPr>
          <w:rFonts w:ascii="標楷體" w:eastAsia="標楷體" w:cs="標楷體" w:hint="eastAsia"/>
          <w:sz w:val="28"/>
          <w:szCs w:val="28"/>
        </w:rPr>
        <w:t>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4A437348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18AA612F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AAE9E" wp14:editId="0949EAA6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5B5EFB40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5D9A269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69388004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B9088" wp14:editId="7DA4B46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7940C8B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8DA8F" wp14:editId="12D57A64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45B20A56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5A4356EA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646A2865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50B06" wp14:editId="7C449D99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5C098B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0FE6FA3B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B1A7005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30482757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B19FEEF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F55F7D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50B0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25C098B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0FE6FA3B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2B1A7005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30482757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5B19FEEF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F55F7D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DF41" w14:textId="77777777" w:rsidR="00A767B9" w:rsidRDefault="00A767B9" w:rsidP="000F7BDE">
      <w:r>
        <w:separator/>
      </w:r>
    </w:p>
  </w:endnote>
  <w:endnote w:type="continuationSeparator" w:id="0">
    <w:p w14:paraId="11176E68" w14:textId="77777777" w:rsidR="00A767B9" w:rsidRDefault="00A767B9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F837" w14:textId="77777777" w:rsidR="00A767B9" w:rsidRDefault="00A767B9" w:rsidP="000F7BDE">
      <w:r>
        <w:separator/>
      </w:r>
    </w:p>
  </w:footnote>
  <w:footnote w:type="continuationSeparator" w:id="0">
    <w:p w14:paraId="0E680709" w14:textId="77777777" w:rsidR="00A767B9" w:rsidRDefault="00A767B9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86267"/>
    <w:rsid w:val="001D36FF"/>
    <w:rsid w:val="0020376B"/>
    <w:rsid w:val="002D4092"/>
    <w:rsid w:val="002E1BB5"/>
    <w:rsid w:val="00324620"/>
    <w:rsid w:val="00325B66"/>
    <w:rsid w:val="00375212"/>
    <w:rsid w:val="003C158D"/>
    <w:rsid w:val="004458B8"/>
    <w:rsid w:val="00513AF3"/>
    <w:rsid w:val="00537676"/>
    <w:rsid w:val="005A4F52"/>
    <w:rsid w:val="006932F9"/>
    <w:rsid w:val="006D0FD1"/>
    <w:rsid w:val="00747CAF"/>
    <w:rsid w:val="007D5495"/>
    <w:rsid w:val="00893BF3"/>
    <w:rsid w:val="00933B99"/>
    <w:rsid w:val="009B7924"/>
    <w:rsid w:val="00A10AA0"/>
    <w:rsid w:val="00A436FA"/>
    <w:rsid w:val="00A767B9"/>
    <w:rsid w:val="00AF02AE"/>
    <w:rsid w:val="00C42504"/>
    <w:rsid w:val="00C468DF"/>
    <w:rsid w:val="00CE0832"/>
    <w:rsid w:val="00D206C4"/>
    <w:rsid w:val="00E1470F"/>
    <w:rsid w:val="00E65064"/>
    <w:rsid w:val="00FE58FA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D2C9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3</cp:revision>
  <cp:lastPrinted>2025-01-01T02:10:00Z</cp:lastPrinted>
  <dcterms:created xsi:type="dcterms:W3CDTF">2025-01-01T03:01:00Z</dcterms:created>
  <dcterms:modified xsi:type="dcterms:W3CDTF">2026-01-16T09:34:00Z</dcterms:modified>
</cp:coreProperties>
</file>