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3CD508E0" w:rsidR="004C30E6" w:rsidRPr="00B76D0B" w:rsidRDefault="00C537F7" w:rsidP="00174F91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B76D0B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00" w:rsidRPr="00B76D0B">
        <w:rPr>
          <w:rFonts w:ascii="標楷體" w:eastAsia="標楷體" w:hint="eastAsia"/>
          <w:sz w:val="32"/>
          <w:szCs w:val="32"/>
        </w:rPr>
        <w:t>11</w:t>
      </w:r>
      <w:r w:rsidR="00391300" w:rsidRPr="00B76D0B">
        <w:rPr>
          <w:rFonts w:ascii="標楷體" w:eastAsia="標楷體" w:hAnsi="標楷體" w:hint="eastAsia"/>
          <w:sz w:val="32"/>
          <w:szCs w:val="32"/>
        </w:rPr>
        <w:t>2</w:t>
      </w:r>
      <w:r w:rsidR="00062E21" w:rsidRPr="00B76D0B">
        <w:rPr>
          <w:rFonts w:ascii="標楷體" w:eastAsia="標楷體" w:hAnsi="標楷體" w:hint="eastAsia"/>
          <w:sz w:val="32"/>
          <w:szCs w:val="32"/>
        </w:rPr>
        <w:t>年</w:t>
      </w:r>
      <w:r w:rsidR="002C3688" w:rsidRPr="00B76D0B">
        <w:rPr>
          <w:rFonts w:ascii="標楷體" w:eastAsia="標楷體" w:hAnsi="標楷體" w:hint="eastAsia"/>
          <w:sz w:val="32"/>
          <w:szCs w:val="32"/>
        </w:rPr>
        <w:t>b</w:t>
      </w:r>
      <w:r w:rsidR="002C3688" w:rsidRPr="00B76D0B">
        <w:rPr>
          <w:rFonts w:ascii="標楷體" w:eastAsia="標楷體" w:hAnsi="標楷體"/>
          <w:sz w:val="32"/>
          <w:szCs w:val="32"/>
        </w:rPr>
        <w:t>reakpoint</w:t>
      </w:r>
      <w:r w:rsidR="00796132" w:rsidRPr="00B76D0B">
        <w:rPr>
          <w:rFonts w:ascii="標楷體" w:eastAsia="標楷體" w:hAnsi="標楷體" w:hint="eastAsia"/>
          <w:sz w:val="32"/>
          <w:szCs w:val="32"/>
        </w:rPr>
        <w:t>盃全國青少</w:t>
      </w:r>
      <w:r w:rsidR="007F53A4" w:rsidRPr="00B76D0B">
        <w:rPr>
          <w:rFonts w:ascii="標楷體" w:eastAsia="標楷體" w:hAnsi="標楷體" w:hint="eastAsia"/>
          <w:sz w:val="32"/>
          <w:szCs w:val="32"/>
        </w:rPr>
        <w:t>年</w:t>
      </w:r>
      <w:r w:rsidR="00D457EB" w:rsidRPr="00B76D0B">
        <w:rPr>
          <w:rFonts w:ascii="標楷體" w:eastAsia="標楷體" w:hAnsi="標楷體" w:hint="eastAsia"/>
          <w:sz w:val="32"/>
          <w:szCs w:val="32"/>
        </w:rPr>
        <w:t>1</w:t>
      </w:r>
      <w:r w:rsidR="00D457EB" w:rsidRPr="00B76D0B">
        <w:rPr>
          <w:rFonts w:ascii="標楷體" w:eastAsia="標楷體" w:hAnsi="標楷體"/>
          <w:sz w:val="32"/>
          <w:szCs w:val="32"/>
        </w:rPr>
        <w:t>4</w:t>
      </w:r>
      <w:r w:rsidR="00C73523" w:rsidRPr="00B76D0B">
        <w:rPr>
          <w:rFonts w:ascii="標楷體" w:eastAsia="標楷體" w:hAnsi="標楷體" w:hint="eastAsia"/>
          <w:sz w:val="32"/>
          <w:szCs w:val="32"/>
        </w:rPr>
        <w:t>歲級</w:t>
      </w:r>
      <w:r w:rsidR="004C30E6" w:rsidRPr="00B76D0B">
        <w:rPr>
          <w:rFonts w:ascii="標楷體" w:eastAsia="標楷體" w:hAnsi="標楷體" w:hint="eastAsia"/>
          <w:sz w:val="32"/>
          <w:szCs w:val="32"/>
        </w:rPr>
        <w:t>網球錦標</w:t>
      </w:r>
      <w:r w:rsidR="008158F4" w:rsidRPr="00B76D0B">
        <w:rPr>
          <w:rFonts w:ascii="標楷體" w:eastAsia="標楷體" w:hAnsi="標楷體" w:hint="eastAsia"/>
          <w:sz w:val="32"/>
          <w:szCs w:val="32"/>
        </w:rPr>
        <w:t>賽</w:t>
      </w:r>
      <w:r w:rsidR="00062E21" w:rsidRPr="00B76D0B">
        <w:rPr>
          <w:rFonts w:ascii="標楷體" w:eastAsia="標楷體" w:hAnsi="標楷體"/>
          <w:sz w:val="32"/>
          <w:szCs w:val="32"/>
        </w:rPr>
        <w:br/>
      </w:r>
      <w:r w:rsidR="009F0BF9" w:rsidRPr="00B76D0B">
        <w:rPr>
          <w:rFonts w:ascii="標楷體" w:eastAsia="標楷體" w:hAnsi="標楷體" w:hint="eastAsia"/>
          <w:sz w:val="32"/>
          <w:szCs w:val="32"/>
        </w:rPr>
        <w:t>(</w:t>
      </w:r>
      <w:r w:rsidR="0031705F" w:rsidRPr="00B76D0B">
        <w:rPr>
          <w:rFonts w:ascii="標楷體" w:eastAsia="標楷體" w:hAnsi="標楷體" w:hint="eastAsia"/>
          <w:sz w:val="32"/>
          <w:szCs w:val="32"/>
        </w:rPr>
        <w:t>C</w:t>
      </w:r>
      <w:r w:rsidR="008278A3" w:rsidRPr="00B76D0B">
        <w:rPr>
          <w:rFonts w:ascii="標楷體" w:eastAsia="標楷體" w:hAnsi="標楷體" w:hint="eastAsia"/>
          <w:sz w:val="32"/>
          <w:szCs w:val="32"/>
        </w:rPr>
        <w:t>-</w:t>
      </w:r>
      <w:r w:rsidR="00D457EB" w:rsidRPr="00B76D0B">
        <w:rPr>
          <w:rFonts w:ascii="標楷體" w:eastAsia="標楷體" w:hAnsi="標楷體" w:hint="eastAsia"/>
          <w:sz w:val="32"/>
          <w:szCs w:val="32"/>
        </w:rPr>
        <w:t>1</w:t>
      </w:r>
      <w:r w:rsidR="00B76D0B" w:rsidRPr="00B76D0B">
        <w:rPr>
          <w:rFonts w:ascii="標楷體" w:eastAsia="標楷體" w:hAnsi="標楷體" w:hint="eastAsia"/>
          <w:sz w:val="32"/>
          <w:szCs w:val="32"/>
        </w:rPr>
        <w:t>1</w:t>
      </w:r>
      <w:r w:rsidR="00AE6338" w:rsidRPr="00B76D0B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B76D0B">
        <w:rPr>
          <w:rFonts w:ascii="標楷體" w:eastAsia="標楷體" w:hAnsi="標楷體" w:hint="eastAsia"/>
          <w:sz w:val="32"/>
          <w:szCs w:val="32"/>
        </w:rPr>
        <w:t>)</w:t>
      </w:r>
      <w:r w:rsidR="00992E60" w:rsidRPr="00B76D0B">
        <w:rPr>
          <w:rFonts w:ascii="標楷體" w:eastAsia="標楷體" w:hAnsi="標楷體" w:hint="eastAsia"/>
          <w:sz w:val="32"/>
          <w:szCs w:val="32"/>
        </w:rPr>
        <w:t>競</w:t>
      </w:r>
      <w:r w:rsidR="004C30E6" w:rsidRPr="00B76D0B">
        <w:rPr>
          <w:rFonts w:ascii="標楷體" w:eastAsia="標楷體" w:hAnsi="標楷體" w:hint="eastAsia"/>
          <w:sz w:val="32"/>
          <w:szCs w:val="32"/>
        </w:rPr>
        <w:t>賽規程</w:t>
      </w:r>
    </w:p>
    <w:p w14:paraId="033AE306" w14:textId="001028B4" w:rsidR="00B62D4F" w:rsidRPr="00E025CB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 xml:space="preserve">                    </w:t>
      </w:r>
      <w:r w:rsidR="00B62D4F" w:rsidRPr="00522605">
        <w:rPr>
          <w:rFonts w:ascii="標楷體" w:eastAsia="標楷體" w:hint="eastAsia"/>
        </w:rPr>
        <w:t>執行長：</w:t>
      </w:r>
      <w:r w:rsidR="002C3688" w:rsidRPr="00E025CB">
        <w:rPr>
          <w:rFonts w:ascii="標楷體" w:eastAsia="標楷體" w:hint="eastAsia"/>
        </w:rPr>
        <w:t>林俊佑</w:t>
      </w:r>
      <w:r w:rsidR="00B62D4F" w:rsidRPr="00E025CB">
        <w:rPr>
          <w:rFonts w:ascii="標楷體" w:eastAsia="標楷體" w:hint="eastAsia"/>
        </w:rPr>
        <w:t xml:space="preserve">   聯絡電話：</w:t>
      </w:r>
      <w:r w:rsidR="002C3688" w:rsidRPr="00E025CB">
        <w:rPr>
          <w:rFonts w:ascii="標楷體" w:eastAsia="標楷體" w:hint="eastAsia"/>
        </w:rPr>
        <w:t>0</w:t>
      </w:r>
      <w:r w:rsidR="002C3688" w:rsidRPr="00E025CB">
        <w:rPr>
          <w:rFonts w:ascii="標楷體" w:eastAsia="標楷體"/>
        </w:rPr>
        <w:t>935020177</w:t>
      </w:r>
    </w:p>
    <w:p w14:paraId="13A26E4C" w14:textId="5BE7E1BA" w:rsidR="00796132" w:rsidRPr="00522605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522605">
        <w:rPr>
          <w:rFonts w:ascii="標楷體" w:eastAsia="標楷體" w:hint="eastAsia"/>
        </w:rPr>
        <w:t xml:space="preserve">                    裁判長：</w:t>
      </w:r>
      <w:r w:rsidR="007834C2" w:rsidRPr="00681A5B">
        <w:rPr>
          <w:rFonts w:ascii="標楷體" w:eastAsia="標楷體" w:hint="eastAsia"/>
        </w:rPr>
        <w:t>江中皓</w:t>
      </w:r>
      <w:r w:rsidRPr="00522605">
        <w:rPr>
          <w:rFonts w:ascii="標楷體" w:eastAsia="標楷體" w:hint="eastAsia"/>
        </w:rPr>
        <w:t xml:space="preserve">   聯絡電話：</w:t>
      </w:r>
      <w:r w:rsidR="003E079B" w:rsidRPr="003E079B">
        <w:rPr>
          <w:rFonts w:ascii="標楷體" w:eastAsia="標楷體"/>
        </w:rPr>
        <w:t>0922-490188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的︰配合政府推展競技運動及全民運動政策、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指導單位︰教育部體育署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Pr="0052260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2B52E72F" w14:textId="6F4E133A" w:rsidR="0083202C" w:rsidRPr="009B0C95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trike/>
          <w:szCs w:val="24"/>
        </w:rPr>
      </w:pPr>
      <w:r w:rsidRPr="00522605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B76D0B" w:rsidRPr="009B0C95">
        <w:rPr>
          <w:rFonts w:ascii="標楷體" w:eastAsia="標楷體" w:hAnsi="標楷體" w:hint="eastAsia"/>
        </w:rPr>
        <w:t>新北市網球發展協會</w:t>
      </w:r>
    </w:p>
    <w:p w14:paraId="214491AE" w14:textId="12C87273" w:rsidR="00626E15" w:rsidRPr="009B0C95" w:rsidRDefault="00626E15" w:rsidP="00626E15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trike/>
          <w:sz w:val="32"/>
          <w:szCs w:val="32"/>
        </w:rPr>
      </w:pPr>
      <w:r w:rsidRPr="009B0C95">
        <w:rPr>
          <w:rFonts w:ascii="標楷體" w:eastAsia="標楷體" w:hAnsi="標楷體" w:hint="eastAsia"/>
          <w:szCs w:val="24"/>
        </w:rPr>
        <w:t>協辦單位：</w:t>
      </w:r>
      <w:r w:rsidRPr="009B0C95">
        <w:rPr>
          <w:rStyle w:val="ac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創極運動股份有限公司</w:t>
      </w:r>
      <w:r w:rsidRPr="009B0C95">
        <w:rPr>
          <w:rFonts w:ascii="標楷體" w:eastAsia="標楷體" w:hAnsi="標楷體" w:cs="Arial"/>
          <w:szCs w:val="24"/>
          <w:shd w:val="clear" w:color="auto" w:fill="FFFFFF"/>
        </w:rPr>
        <w:t>(Breakpoint Sports Inc)</w:t>
      </w:r>
    </w:p>
    <w:p w14:paraId="6C09617A" w14:textId="45298512" w:rsidR="008278A3" w:rsidRPr="009B0C95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trike/>
          <w:szCs w:val="24"/>
        </w:rPr>
      </w:pPr>
      <w:r w:rsidRPr="009B0C95">
        <w:rPr>
          <w:rFonts w:ascii="標楷體" w:eastAsia="標楷體" w:hAnsi="標楷體"/>
          <w:szCs w:val="24"/>
        </w:rPr>
        <w:t>贊助單位：</w:t>
      </w:r>
      <w:r w:rsidR="0083202C" w:rsidRPr="009B0C95">
        <w:rPr>
          <w:rFonts w:ascii="標楷體" w:eastAsia="標楷體" w:hAnsi="標楷體" w:hint="eastAsia"/>
          <w:szCs w:val="24"/>
        </w:rPr>
        <w:t>優乃克股份有限公司</w:t>
      </w:r>
    </w:p>
    <w:p w14:paraId="67774347" w14:textId="0D0A678E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比賽日期：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D457EB">
        <w:rPr>
          <w:rFonts w:ascii="標楷體" w:eastAsia="標楷體" w:hint="eastAsia"/>
          <w:color w:val="FF0000"/>
        </w:rPr>
        <w:t>5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C61382">
        <w:rPr>
          <w:rFonts w:ascii="標楷體" w:eastAsia="標楷體"/>
          <w:color w:val="FF0000"/>
        </w:rPr>
        <w:t>20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</w:t>
      </w:r>
      <w:r w:rsidR="00014121" w:rsidRPr="00522605">
        <w:rPr>
          <w:rFonts w:ascii="標楷體" w:eastAsia="標楷體" w:hAnsi="標楷體" w:hint="eastAsia"/>
          <w:szCs w:val="24"/>
        </w:rPr>
        <w:t>六</w:t>
      </w:r>
      <w:r w:rsidRPr="00522605">
        <w:rPr>
          <w:rFonts w:ascii="標楷體" w:eastAsia="標楷體" w:hAnsi="標楷體" w:hint="eastAsia"/>
          <w:szCs w:val="24"/>
        </w:rPr>
        <w:t>)</w:t>
      </w:r>
      <w:r w:rsidRPr="00522605">
        <w:rPr>
          <w:rFonts w:ascii="標楷體" w:eastAsia="標楷體" w:hAnsi="標楷體" w:hint="eastAsia"/>
          <w:color w:val="FF0000"/>
          <w:szCs w:val="24"/>
        </w:rPr>
        <w:t>至</w:t>
      </w:r>
      <w:r w:rsidR="00D457EB">
        <w:rPr>
          <w:rFonts w:ascii="標楷體" w:eastAsia="標楷體" w:hint="eastAsia"/>
          <w:color w:val="FF0000"/>
        </w:rPr>
        <w:t>5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C61382">
        <w:rPr>
          <w:rFonts w:ascii="標楷體" w:eastAsia="標楷體"/>
          <w:color w:val="FF0000"/>
        </w:rPr>
        <w:t>21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(星期日)</w:t>
      </w:r>
      <w:r w:rsidRPr="00522605">
        <w:rPr>
          <w:rFonts w:ascii="標楷體" w:eastAsia="標楷體" w:hAnsi="標楷體"/>
          <w:szCs w:val="24"/>
        </w:rPr>
        <w:t>止，共</w:t>
      </w:r>
      <w:r w:rsidR="008C2973" w:rsidRPr="00522605">
        <w:rPr>
          <w:rFonts w:ascii="標楷體" w:eastAsia="標楷體" w:hAnsi="標楷體" w:hint="eastAsia"/>
          <w:szCs w:val="24"/>
        </w:rPr>
        <w:t>二</w:t>
      </w:r>
      <w:r w:rsidR="00284784" w:rsidRPr="00522605">
        <w:rPr>
          <w:rFonts w:ascii="標楷體" w:eastAsia="標楷體" w:hAnsi="標楷體" w:hint="eastAsia"/>
          <w:szCs w:val="24"/>
        </w:rPr>
        <w:t>天          (視實際</w:t>
      </w:r>
      <w:r w:rsidR="00284784" w:rsidRPr="00522605">
        <w:rPr>
          <w:rFonts w:ascii="標楷體" w:eastAsia="標楷體"/>
          <w:szCs w:val="24"/>
        </w:rPr>
        <w:t>報名</w:t>
      </w:r>
      <w:r w:rsidR="00284784" w:rsidRPr="00522605">
        <w:rPr>
          <w:rFonts w:ascii="標楷體" w:eastAsia="標楷體" w:hAnsi="標楷體" w:hint="eastAsia"/>
          <w:szCs w:val="24"/>
        </w:rPr>
        <w:t>人數</w:t>
      </w:r>
      <w:r w:rsidR="00C12792" w:rsidRPr="00522605">
        <w:rPr>
          <w:rFonts w:ascii="標楷體" w:eastAsia="標楷體" w:hAnsi="標楷體" w:hint="eastAsia"/>
          <w:szCs w:val="24"/>
        </w:rPr>
        <w:t>得增加一天</w:t>
      </w:r>
      <w:r w:rsidR="00284784" w:rsidRPr="00522605">
        <w:rPr>
          <w:rFonts w:ascii="標楷體" w:eastAsia="標楷體" w:hAnsi="標楷體" w:hint="eastAsia"/>
          <w:szCs w:val="24"/>
        </w:rPr>
        <w:t>)</w:t>
      </w:r>
      <w:r w:rsidR="0016510A" w:rsidRPr="00522605">
        <w:rPr>
          <w:rFonts w:ascii="標楷體" w:eastAsia="標楷體" w:hAnsi="標楷體" w:hint="eastAsia"/>
          <w:szCs w:val="24"/>
        </w:rPr>
        <w:t>。</w:t>
      </w:r>
    </w:p>
    <w:p w14:paraId="02262840" w14:textId="70AC9A40" w:rsidR="004420A9" w:rsidRPr="00E7083E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比賽地點：</w:t>
      </w:r>
      <w:r w:rsidR="002C3688">
        <w:rPr>
          <w:rFonts w:ascii="標楷體" w:eastAsia="標楷體" w:hint="eastAsia"/>
          <w:szCs w:val="24"/>
        </w:rPr>
        <w:t>新北市新店</w:t>
      </w:r>
      <w:r w:rsidR="002C3688" w:rsidRPr="00E7083E">
        <w:rPr>
          <w:rFonts w:ascii="標楷體" w:eastAsia="標楷體" w:hint="eastAsia"/>
          <w:szCs w:val="24"/>
        </w:rPr>
        <w:t>區</w:t>
      </w:r>
      <w:r w:rsidR="002C3688" w:rsidRPr="00E7083E">
        <w:rPr>
          <w:rFonts w:ascii="標楷體" w:eastAsia="標楷體" w:hint="eastAsia"/>
        </w:rPr>
        <w:t>小碧潭網球場</w:t>
      </w:r>
      <w:r w:rsidR="00126732" w:rsidRPr="00E7083E">
        <w:rPr>
          <w:rFonts w:ascii="標楷體" w:eastAsia="標楷體"/>
          <w:szCs w:val="24"/>
        </w:rPr>
        <w:t xml:space="preserve"> (</w:t>
      </w:r>
      <w:r w:rsidR="00126732" w:rsidRPr="00E7083E">
        <w:rPr>
          <w:rFonts w:ascii="標楷體" w:eastAsia="標楷體" w:hint="eastAsia"/>
        </w:rPr>
        <w:t>硬</w:t>
      </w:r>
      <w:r w:rsidR="00126732" w:rsidRPr="00E7083E">
        <w:rPr>
          <w:rFonts w:ascii="標楷體" w:eastAsia="標楷體" w:hint="eastAsia"/>
          <w:bCs/>
          <w:szCs w:val="24"/>
        </w:rPr>
        <w:t>地</w:t>
      </w:r>
      <w:r w:rsidR="00126732" w:rsidRPr="00E7083E">
        <w:rPr>
          <w:rFonts w:ascii="標楷體" w:eastAsia="標楷體"/>
          <w:szCs w:val="24"/>
        </w:rPr>
        <w:t>)</w:t>
      </w:r>
    </w:p>
    <w:p w14:paraId="2FECA8C9" w14:textId="78D50CA2" w:rsidR="00211527" w:rsidRPr="00522605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hint="eastAsia"/>
        </w:rPr>
        <w:t>地址：</w:t>
      </w:r>
      <w:r w:rsidR="00D457EB" w:rsidRPr="001A7FD4">
        <w:rPr>
          <w:rFonts w:ascii="標楷體" w:eastAsia="標楷體"/>
          <w:szCs w:val="24"/>
        </w:rPr>
        <w:t>(新店溪右岸自行車道2.3KM)</w:t>
      </w:r>
      <w:r w:rsidR="004420A9" w:rsidRPr="001A7FD4">
        <w:rPr>
          <w:rFonts w:ascii="標楷體" w:eastAsia="標楷體"/>
          <w:szCs w:val="24"/>
        </w:rPr>
        <w:t xml:space="preserve"> </w:t>
      </w:r>
    </w:p>
    <w:p w14:paraId="6CADF95D" w14:textId="1BDE1215" w:rsidR="006F4A4D" w:rsidRPr="00B53E42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比賽用球：</w:t>
      </w:r>
      <w:r w:rsidR="00026BEB" w:rsidRPr="00522605">
        <w:rPr>
          <w:rFonts w:ascii="標楷體" w:eastAsia="標楷體" w:hAnsi="標楷體"/>
          <w:szCs w:val="24"/>
        </w:rPr>
        <w:t>2023年</w:t>
      </w:r>
      <w:r w:rsidR="00026BEB" w:rsidRPr="00B53E42">
        <w:rPr>
          <w:rFonts w:ascii="標楷體" w:eastAsia="標楷體" w:hAnsi="標楷體"/>
          <w:szCs w:val="24"/>
        </w:rPr>
        <w:t>中華網協指定用球</w:t>
      </w:r>
      <w:r w:rsidR="009F14E5" w:rsidRPr="00B53E42">
        <w:rPr>
          <w:rFonts w:ascii="標楷體" w:eastAsia="標楷體" w:hAnsi="標楷體" w:hint="eastAsia"/>
          <w:szCs w:val="24"/>
        </w:rPr>
        <w:t>YONEX</w:t>
      </w:r>
      <w:r w:rsidR="003D6E3C" w:rsidRPr="00B53E42">
        <w:rPr>
          <w:rFonts w:ascii="標楷體" w:eastAsia="標楷體" w:hAnsi="標楷體"/>
          <w:szCs w:val="24"/>
        </w:rPr>
        <w:t>- TB-CS3EX</w:t>
      </w:r>
    </w:p>
    <w:p w14:paraId="5E6FCD2D" w14:textId="7F212E2A" w:rsidR="00C00502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522605">
        <w:rPr>
          <w:rFonts w:ascii="標楷體" w:eastAsia="標楷體" w:hint="eastAsia"/>
        </w:rPr>
        <w:t>除</w:t>
      </w:r>
      <w:r w:rsidR="00C00502" w:rsidRPr="00522605">
        <w:rPr>
          <w:rFonts w:ascii="標楷體" w:eastAsia="標楷體"/>
        </w:rPr>
        <w:t>排名</w:t>
      </w:r>
      <w:r w:rsidR="008E2334" w:rsidRPr="00522605">
        <w:rPr>
          <w:rFonts w:ascii="標楷體" w:eastAsia="標楷體" w:hint="eastAsia"/>
        </w:rPr>
        <w:t>男生</w:t>
      </w:r>
      <w:r w:rsidR="00C00502" w:rsidRPr="00522605">
        <w:rPr>
          <w:rFonts w:ascii="標楷體" w:eastAsia="標楷體"/>
        </w:rPr>
        <w:t>前</w:t>
      </w:r>
      <w:r w:rsidR="00284784" w:rsidRPr="00522605">
        <w:rPr>
          <w:rFonts w:ascii="標楷體" w:eastAsia="標楷體" w:hint="eastAsia"/>
        </w:rPr>
        <w:t>30</w:t>
      </w:r>
      <w:r w:rsidR="008E2334" w:rsidRPr="00522605">
        <w:rPr>
          <w:rFonts w:ascii="標楷體" w:eastAsia="標楷體" w:hint="eastAsia"/>
        </w:rPr>
        <w:t>、女生前15</w:t>
      </w:r>
      <w:r w:rsidR="007F2BEB" w:rsidRPr="00522605">
        <w:rPr>
          <w:rFonts w:ascii="標楷體" w:eastAsia="標楷體" w:hint="eastAsia"/>
        </w:rPr>
        <w:t>名</w:t>
      </w:r>
      <w:r w:rsidR="00C00502" w:rsidRPr="00522605">
        <w:rPr>
          <w:rFonts w:ascii="標楷體" w:eastAsia="標楷體" w:hint="eastAsia"/>
        </w:rPr>
        <w:t>選手</w:t>
      </w:r>
      <w:r w:rsidR="00C00502" w:rsidRPr="00522605">
        <w:rPr>
          <w:rFonts w:ascii="標楷體" w:eastAsia="標楷體"/>
        </w:rPr>
        <w:t>不得報名</w:t>
      </w:r>
      <w:r w:rsidR="00C00502" w:rsidRPr="00522605">
        <w:rPr>
          <w:rFonts w:ascii="標楷體" w:eastAsia="標楷體" w:hint="eastAsia"/>
        </w:rPr>
        <w:t>本歲級外，同歲級(含)以下之青少年選手(包括外籍選手)均可報名參加。</w:t>
      </w:r>
    </w:p>
    <w:p w14:paraId="780958D7" w14:textId="77777777" w:rsidR="009871A4" w:rsidRPr="009871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9871A4">
        <w:rPr>
          <w:rFonts w:ascii="標楷體" w:eastAsia="標楷體" w:hAnsi="標楷體" w:hint="eastAsia"/>
          <w:szCs w:val="24"/>
          <w:u w:val="single"/>
        </w:rPr>
        <w:t>※</w:t>
      </w:r>
      <w:r w:rsidRPr="009871A4">
        <w:rPr>
          <w:rFonts w:ascii="標楷體" w:eastAsia="標楷體" w:hAnsi="標楷體" w:cs="標楷體" w:hint="eastAsia"/>
          <w:kern w:val="0"/>
          <w:u w:val="single"/>
        </w:rPr>
        <w:t>(</w:t>
      </w:r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7EE5B8F5" w14:textId="5435CB6D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競賽分組：</w:t>
      </w:r>
      <w:r w:rsidRPr="00522605">
        <w:rPr>
          <w:rFonts w:ascii="標楷體" w:eastAsia="標楷體" w:hAnsi="標楷體" w:hint="eastAsia"/>
          <w:szCs w:val="24"/>
        </w:rPr>
        <w:t>本次比賽分為男女</w:t>
      </w:r>
      <w:r w:rsidR="00D457EB">
        <w:rPr>
          <w:rFonts w:ascii="標楷體" w:eastAsia="標楷體" w:hint="eastAsia"/>
          <w:color w:val="FF0000"/>
        </w:rPr>
        <w:t>1</w:t>
      </w:r>
      <w:r w:rsidR="00D457EB">
        <w:rPr>
          <w:rFonts w:ascii="標楷體" w:eastAsia="標楷體"/>
          <w:color w:val="FF0000"/>
        </w:rPr>
        <w:t>4</w:t>
      </w:r>
      <w:r w:rsidRPr="00522605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BD8F60B" w:rsidR="004C30E6" w:rsidRPr="00522605" w:rsidRDefault="00D457EB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</w:rPr>
        <w:t>1</w:t>
      </w:r>
      <w:r>
        <w:rPr>
          <w:rFonts w:ascii="標楷體" w:eastAsia="標楷體"/>
          <w:color w:val="FF0000"/>
        </w:rPr>
        <w:t>4</w:t>
      </w:r>
      <w:r w:rsidR="004C30E6" w:rsidRPr="00522605">
        <w:rPr>
          <w:rFonts w:ascii="標楷體" w:eastAsia="標楷體" w:hAnsi="標楷體" w:cs="新細明體"/>
          <w:bCs/>
          <w:kern w:val="0"/>
        </w:rPr>
        <w:t>歲級︰</w:t>
      </w:r>
      <w:r w:rsidR="004C30E6" w:rsidRPr="00522605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</w:rPr>
        <w:t>9</w:t>
      </w:r>
      <w:r>
        <w:rPr>
          <w:rFonts w:ascii="標楷體" w:eastAsia="標楷體"/>
          <w:color w:val="FF0000"/>
        </w:rPr>
        <w:t>8</w:t>
      </w:r>
      <w:r w:rsidR="004C30E6" w:rsidRPr="00522605">
        <w:rPr>
          <w:rFonts w:ascii="標楷體" w:eastAsia="標楷體" w:hAnsi="標楷體"/>
          <w:bCs/>
          <w:szCs w:val="24"/>
        </w:rPr>
        <w:t>年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月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日以後出生者</w:t>
      </w:r>
      <w:r w:rsidR="004C30E6" w:rsidRPr="00522605">
        <w:rPr>
          <w:rFonts w:ascii="標楷體" w:eastAsia="標楷體" w:hAnsi="標楷體" w:hint="eastAsia"/>
          <w:bCs/>
          <w:szCs w:val="24"/>
        </w:rPr>
        <w:t>。</w:t>
      </w:r>
    </w:p>
    <w:p w14:paraId="3F87961B" w14:textId="104EB6DC" w:rsidR="004C30E6" w:rsidRPr="00522605" w:rsidRDefault="004C30E6" w:rsidP="0075328E">
      <w:pPr>
        <w:ind w:left="482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備註：</w:t>
      </w:r>
      <w:r w:rsidRPr="00522605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522605">
        <w:rPr>
          <w:rFonts w:ascii="標楷體" w:eastAsia="標楷體" w:hAnsi="標楷體" w:hint="eastAsia"/>
          <w:b/>
          <w:bCs/>
          <w:szCs w:val="24"/>
        </w:rPr>
        <w:t>報名</w:t>
      </w:r>
      <w:r w:rsidRPr="00522605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4</w:t>
      </w:r>
      <w:r w:rsidRPr="00522605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2</w:t>
      </w:r>
      <w:r w:rsidRPr="00522605">
        <w:rPr>
          <w:rFonts w:ascii="標楷體" w:eastAsia="標楷體" w:hAnsi="標楷體" w:hint="eastAsia"/>
          <w:b/>
          <w:bCs/>
          <w:szCs w:val="24"/>
        </w:rPr>
        <w:t>組)時</w:t>
      </w:r>
      <w:r w:rsidR="0075328E" w:rsidRPr="00522605">
        <w:rPr>
          <w:rFonts w:ascii="標楷體" w:eastAsia="標楷體" w:hAnsi="標楷體"/>
          <w:b/>
          <w:bCs/>
          <w:szCs w:val="24"/>
        </w:rPr>
        <w:t>，</w:t>
      </w:r>
      <w:r w:rsidR="0075328E" w:rsidRPr="00522605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4F964D05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報名辦法：</w:t>
      </w:r>
    </w:p>
    <w:p w14:paraId="54159008" w14:textId="6023D574" w:rsidR="00D86414" w:rsidRPr="001E266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1E266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1E266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391300" w:rsidRPr="001E266A">
        <w:rPr>
          <w:rFonts w:ascii="標楷體" w:eastAsia="標楷體" w:hAnsi="標楷體" w:hint="eastAsia"/>
          <w:szCs w:val="24"/>
        </w:rPr>
        <w:t>112</w:t>
      </w:r>
      <w:r w:rsidR="0085655F" w:rsidRPr="001E266A">
        <w:rPr>
          <w:rFonts w:ascii="標楷體" w:eastAsia="標楷體" w:hAnsi="標楷體" w:hint="eastAsia"/>
          <w:szCs w:val="24"/>
        </w:rPr>
        <w:t>年</w:t>
      </w:r>
      <w:r w:rsidR="00D457EB" w:rsidRPr="001E266A">
        <w:rPr>
          <w:rFonts w:ascii="標楷體" w:eastAsia="標楷體"/>
          <w:color w:val="FF0000"/>
        </w:rPr>
        <w:t>5</w:t>
      </w:r>
      <w:r w:rsidRPr="001E266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5D2028" w:rsidRPr="001E266A">
        <w:rPr>
          <w:rFonts w:ascii="標楷體" w:eastAsia="標楷體" w:hint="eastAsia"/>
          <w:color w:val="FF0000"/>
        </w:rPr>
        <w:t>7</w:t>
      </w:r>
      <w:r w:rsidRPr="001E266A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1E266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E266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1E266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1E266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1E266A">
        <w:rPr>
          <w:rFonts w:ascii="標楷體" w:eastAsia="標楷體" w:hAnsi="標楷體" w:hint="eastAsia"/>
          <w:szCs w:val="24"/>
        </w:rPr>
        <w:t>報名截止</w:t>
      </w:r>
      <w:r w:rsidR="00412980" w:rsidRPr="001E266A">
        <w:rPr>
          <w:rFonts w:ascii="標楷體" w:eastAsia="標楷體" w:hAnsi="標楷體" w:hint="eastAsia"/>
          <w:szCs w:val="24"/>
        </w:rPr>
        <w:t>隔天</w:t>
      </w:r>
      <w:r w:rsidRPr="001E266A">
        <w:rPr>
          <w:rFonts w:ascii="標楷體" w:eastAsia="標楷體" w:hAnsi="標楷體" w:hint="eastAsia"/>
          <w:szCs w:val="24"/>
        </w:rPr>
        <w:t>公佈接受名單，請務必上</w:t>
      </w:r>
      <w:r w:rsidRPr="001E266A">
        <w:rPr>
          <w:rFonts w:ascii="標楷體" w:eastAsia="標楷體" w:hAnsi="標楷體" w:hint="eastAsia"/>
          <w:color w:val="000000"/>
          <w:szCs w:val="24"/>
        </w:rPr>
        <w:t>網確</w:t>
      </w:r>
      <w:r w:rsidRPr="001E266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1E266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1E266A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1E266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1E266A">
        <w:rPr>
          <w:rFonts w:ascii="標楷體" w:eastAsia="標楷體" w:hAnsi="標楷體" w:hint="eastAsia"/>
          <w:szCs w:val="24"/>
          <w:u w:val="single"/>
        </w:rPr>
        <w:t>※</w:t>
      </w:r>
      <w:r w:rsidR="00737C7F" w:rsidRPr="001E266A">
        <w:rPr>
          <w:rFonts w:ascii="標楷體" w:eastAsia="標楷體" w:hAnsi="標楷體" w:cs="標楷體" w:hint="eastAsia"/>
          <w:kern w:val="0"/>
          <w:u w:val="single"/>
        </w:rPr>
        <w:t>(</w:t>
      </w:r>
      <w:r w:rsidR="00737C7F" w:rsidRPr="001E266A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32C34C2A" w14:textId="0D7BB253" w:rsidR="00F1057B" w:rsidRPr="001E266A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1E266A">
        <w:rPr>
          <w:rFonts w:ascii="標楷體" w:eastAsia="標楷體" w:hAnsi="標楷體" w:hint="eastAsia"/>
          <w:szCs w:val="24"/>
        </w:rPr>
        <w:t>報名需</w:t>
      </w:r>
      <w:r w:rsidR="004439D2" w:rsidRPr="001E266A">
        <w:rPr>
          <w:rFonts w:ascii="標楷體" w:eastAsia="標楷體" w:hAnsi="標楷體" w:hint="eastAsia"/>
          <w:szCs w:val="24"/>
        </w:rPr>
        <w:t>加入本會</w:t>
      </w:r>
      <w:r w:rsidRPr="001E266A">
        <w:rPr>
          <w:rFonts w:ascii="標楷體" w:eastAsia="標楷體" w:hAnsi="標楷體" w:hint="eastAsia"/>
          <w:szCs w:val="24"/>
        </w:rPr>
        <w:t>網路報名系統</w:t>
      </w:r>
      <w:r w:rsidR="004439D2" w:rsidRPr="001E266A">
        <w:rPr>
          <w:rFonts w:ascii="標楷體" w:eastAsia="標楷體" w:hAnsi="標楷體" w:hint="eastAsia"/>
          <w:szCs w:val="24"/>
        </w:rPr>
        <w:t>會員並完成</w:t>
      </w:r>
      <w:r w:rsidRPr="001E266A">
        <w:rPr>
          <w:rFonts w:ascii="標楷體" w:eastAsia="標楷體" w:hAnsi="標楷體" w:hint="eastAsia"/>
          <w:szCs w:val="24"/>
        </w:rPr>
        <w:t>登錄</w:t>
      </w:r>
      <w:r w:rsidR="004439D2" w:rsidRPr="001E266A">
        <w:rPr>
          <w:rFonts w:ascii="標楷體" w:eastAsia="標楷體" w:hAnsi="標楷體" w:hint="eastAsia"/>
          <w:szCs w:val="24"/>
        </w:rPr>
        <w:t>後始得報名，並請</w:t>
      </w:r>
      <w:r w:rsidRPr="001E266A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1E266A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1E266A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1E266A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1E266A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4F782227" w:rsidR="00F116D6" w:rsidRPr="00522605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1E266A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="00391300" w:rsidRPr="001E266A">
        <w:rPr>
          <w:rFonts w:ascii="標楷體" w:eastAsia="標楷體" w:hAnsi="標楷體" w:hint="eastAsia"/>
          <w:szCs w:val="24"/>
        </w:rPr>
        <w:t>112</w:t>
      </w:r>
      <w:r w:rsidRPr="001E266A">
        <w:rPr>
          <w:rFonts w:ascii="標楷體" w:eastAsia="標楷體" w:hAnsi="標楷體" w:hint="eastAsia"/>
          <w:szCs w:val="24"/>
        </w:rPr>
        <w:t>年</w:t>
      </w:r>
      <w:r w:rsidR="00D457EB" w:rsidRPr="001E266A">
        <w:rPr>
          <w:rFonts w:ascii="標楷體" w:eastAsia="標楷體" w:hint="eastAsia"/>
          <w:color w:val="FF0000"/>
        </w:rPr>
        <w:t>5月</w:t>
      </w:r>
      <w:r w:rsidR="00C61382" w:rsidRPr="001E266A">
        <w:rPr>
          <w:rFonts w:ascii="標楷體" w:eastAsia="標楷體"/>
          <w:color w:val="FF0000"/>
        </w:rPr>
        <w:t>1</w:t>
      </w:r>
      <w:r w:rsidR="005D2028" w:rsidRPr="001E266A">
        <w:rPr>
          <w:rFonts w:ascii="標楷體" w:eastAsia="標楷體" w:hint="eastAsia"/>
          <w:color w:val="FF0000"/>
        </w:rPr>
        <w:t>0</w:t>
      </w:r>
      <w:r w:rsidR="00842450" w:rsidRPr="001E266A">
        <w:rPr>
          <w:rFonts w:ascii="標楷體" w:eastAsia="標楷體" w:hint="eastAsia"/>
          <w:color w:val="FF0000"/>
        </w:rPr>
        <w:t>日(週三)</w:t>
      </w:r>
      <w:r w:rsidR="00842450" w:rsidRPr="001E266A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1E266A">
        <w:rPr>
          <w:rFonts w:ascii="標楷體" w:eastAsia="標楷體" w:hAnsi="標楷體" w:hint="eastAsia"/>
          <w:color w:val="FF0000"/>
          <w:szCs w:val="24"/>
        </w:rPr>
        <w:t>(週</w:t>
      </w:r>
      <w:r w:rsidR="00496597" w:rsidRPr="001E266A">
        <w:rPr>
          <w:rFonts w:ascii="標楷體" w:eastAsia="標楷體" w:hAnsi="標楷體" w:hint="eastAsia"/>
          <w:color w:val="FF0000"/>
          <w:szCs w:val="24"/>
        </w:rPr>
        <w:t>三</w:t>
      </w:r>
      <w:r w:rsidRPr="001E266A">
        <w:rPr>
          <w:rFonts w:ascii="標楷體" w:eastAsia="標楷體" w:hAnsi="標楷體" w:hint="eastAsia"/>
          <w:color w:val="FF0000"/>
          <w:szCs w:val="24"/>
        </w:rPr>
        <w:t>)</w:t>
      </w:r>
      <w:bookmarkEnd w:id="3"/>
      <w:r w:rsidRPr="001E266A">
        <w:rPr>
          <w:rFonts w:ascii="標楷體" w:eastAsia="標楷體" w:hAnsi="標楷體"/>
          <w:szCs w:val="24"/>
        </w:rPr>
        <w:t>12:</w:t>
      </w:r>
      <w:r w:rsidRPr="001E266A">
        <w:rPr>
          <w:rFonts w:ascii="標楷體" w:eastAsia="標楷體" w:hAnsi="標楷體" w:hint="eastAsia"/>
          <w:szCs w:val="24"/>
        </w:rPr>
        <w:t>0</w:t>
      </w:r>
      <w:r w:rsidRPr="001E266A">
        <w:rPr>
          <w:rFonts w:ascii="標楷體" w:eastAsia="標楷體" w:hAnsi="標楷體"/>
          <w:szCs w:val="24"/>
        </w:rPr>
        <w:t>0(</w:t>
      </w:r>
      <w:r w:rsidRPr="001E266A">
        <w:rPr>
          <w:rFonts w:ascii="標楷體" w:eastAsia="標楷體" w:hAnsi="標楷體" w:hint="eastAsia"/>
          <w:szCs w:val="24"/>
        </w:rPr>
        <w:t>抽籤日前一天</w:t>
      </w:r>
      <w:r w:rsidRPr="001E266A">
        <w:rPr>
          <w:rFonts w:ascii="標楷體" w:eastAsia="標楷體" w:hAnsi="標楷體"/>
          <w:szCs w:val="24"/>
        </w:rPr>
        <w:t>)</w:t>
      </w:r>
      <w:r w:rsidRPr="001E266A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1E266A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1E266A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1E266A">
        <w:rPr>
          <w:rFonts w:ascii="標楷體" w:eastAsia="標楷體" w:hAnsi="標楷體" w:hint="eastAsia"/>
          <w:szCs w:val="24"/>
        </w:rPr>
        <w:t>(</w:t>
      </w:r>
      <w:r w:rsidRPr="001E266A">
        <w:rPr>
          <w:rFonts w:ascii="標楷體" w:eastAsia="標楷體" w:hAnsi="標楷體"/>
          <w:szCs w:val="24"/>
        </w:rPr>
        <w:t>G</w:t>
      </w:r>
      <w:r w:rsidRPr="001E266A">
        <w:rPr>
          <w:rFonts w:ascii="標楷體" w:eastAsia="標楷體" w:hAnsi="標楷體" w:hint="eastAsia"/>
          <w:szCs w:val="24"/>
        </w:rPr>
        <w:t>oogle表單)向本會</w:t>
      </w:r>
      <w:r w:rsidR="00235D00" w:rsidRPr="001E266A">
        <w:rPr>
          <w:rFonts w:ascii="標楷體" w:eastAsia="標楷體" w:hAnsi="標楷體" w:hint="eastAsia"/>
          <w:szCs w:val="24"/>
          <w:u w:val="single"/>
        </w:rPr>
        <w:t>取消報名/</w:t>
      </w:r>
      <w:r w:rsidRPr="001E266A">
        <w:rPr>
          <w:rFonts w:ascii="標楷體" w:eastAsia="標楷體" w:hAnsi="標楷體" w:hint="eastAsia"/>
          <w:szCs w:val="24"/>
          <w:u w:val="single"/>
        </w:rPr>
        <w:t>請假</w:t>
      </w:r>
      <w:r w:rsidRPr="001E266A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1E266A">
        <w:rPr>
          <w:rFonts w:ascii="標楷體" w:eastAsia="標楷體" w:hAnsi="標楷體"/>
          <w:szCs w:val="24"/>
        </w:rPr>
        <w:t>(</w:t>
      </w:r>
      <w:r w:rsidRPr="001E266A">
        <w:rPr>
          <w:rFonts w:ascii="標楷體" w:eastAsia="標楷體" w:hAnsi="標楷體" w:hint="eastAsia"/>
          <w:szCs w:val="24"/>
        </w:rPr>
        <w:t>未</w:t>
      </w:r>
      <w:r w:rsidRPr="00522605">
        <w:rPr>
          <w:rFonts w:ascii="標楷體" w:eastAsia="標楷體" w:hAnsi="標楷體" w:hint="eastAsia"/>
          <w:szCs w:val="24"/>
        </w:rPr>
        <w:t>繳報名費者將予以禁賽六個月之處分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取消報名/請假</w:t>
      </w:r>
      <w:r w:rsidRPr="00522605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522605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4" w:name="_Hlk119056729"/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522605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bookmarkEnd w:id="4"/>
    <w:p w14:paraId="193977F2" w14:textId="367EE813" w:rsidR="0009724C" w:rsidRPr="00522605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報名費：單/雙打每人/組</w:t>
      </w:r>
      <w:r w:rsidR="00C00502" w:rsidRPr="00522605">
        <w:rPr>
          <w:rFonts w:ascii="標楷體" w:eastAsia="標楷體" w:hAnsi="標楷體" w:hint="eastAsia"/>
          <w:szCs w:val="24"/>
        </w:rPr>
        <w:t>5</w:t>
      </w:r>
      <w:r w:rsidRPr="00522605">
        <w:rPr>
          <w:rFonts w:ascii="標楷體" w:eastAsia="標楷體" w:hAnsi="標楷體" w:hint="eastAsia"/>
          <w:szCs w:val="24"/>
        </w:rPr>
        <w:t>00元，報名費一律現場繳納，報名選手如有欠費，</w:t>
      </w:r>
      <w:r w:rsidR="00672EE2" w:rsidRPr="00522605">
        <w:rPr>
          <w:rFonts w:ascii="標楷體" w:eastAsia="標楷體" w:hint="eastAsia"/>
        </w:rPr>
        <w:t>將無法網路報名本會其它賽事。</w:t>
      </w:r>
      <w:r w:rsidRPr="00522605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522605">
        <w:rPr>
          <w:rFonts w:ascii="標楷體" w:eastAsia="標楷體" w:hAnsi="標楷體" w:hint="eastAsia"/>
          <w:szCs w:val="24"/>
        </w:rPr>
        <w:t>4</w:t>
      </w:r>
      <w:r w:rsidRPr="00522605">
        <w:rPr>
          <w:rFonts w:ascii="標楷體" w:eastAsia="標楷體" w:hAnsi="標楷體" w:hint="eastAsia"/>
          <w:szCs w:val="24"/>
        </w:rPr>
        <w:t>00元，本會會員係指已加入本會並繳交入會費及當年年費者】</w:t>
      </w:r>
      <w:r w:rsidR="00B70AE2" w:rsidRPr="00522605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</w:t>
      </w:r>
      <w:r w:rsidRPr="00522605">
        <w:rPr>
          <w:rFonts w:ascii="標楷體" w:eastAsia="標楷體" w:hAnsi="標楷體"/>
        </w:rPr>
        <w:lastRenderedPageBreak/>
        <w:t>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59DB8881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時間：</w:t>
      </w:r>
      <w:r w:rsidR="00E473FC" w:rsidRPr="00522605">
        <w:rPr>
          <w:rFonts w:ascii="標楷體" w:eastAsia="標楷體"/>
          <w:color w:val="FF0000"/>
        </w:rPr>
        <w:t>112年</w:t>
      </w:r>
      <w:r w:rsidR="00D457EB" w:rsidRPr="00B53E42">
        <w:rPr>
          <w:rFonts w:ascii="標楷體" w:eastAsia="標楷體" w:hint="eastAsia"/>
          <w:color w:val="FF0000"/>
        </w:rPr>
        <w:t>5月</w:t>
      </w:r>
      <w:r w:rsidR="005D2028" w:rsidRPr="00B53E42">
        <w:rPr>
          <w:rFonts w:ascii="標楷體" w:eastAsia="標楷體" w:hint="eastAsia"/>
          <w:color w:val="FF0000"/>
        </w:rPr>
        <w:t>11</w:t>
      </w:r>
      <w:r w:rsidR="00E473FC" w:rsidRPr="00B53E42">
        <w:rPr>
          <w:rFonts w:ascii="標楷體" w:eastAsia="標楷體" w:hint="eastAsia"/>
          <w:color w:val="FF0000"/>
        </w:rPr>
        <w:t>日(</w:t>
      </w:r>
      <w:r w:rsidR="00E473FC" w:rsidRPr="00B53E42">
        <w:rPr>
          <w:rFonts w:ascii="標楷體" w:eastAsia="標楷體"/>
          <w:color w:val="FF0000"/>
        </w:rPr>
        <w:t>星期</w:t>
      </w:r>
      <w:r w:rsidR="00E473FC" w:rsidRPr="00B53E42">
        <w:rPr>
          <w:rFonts w:ascii="標楷體" w:eastAsia="標楷體" w:hint="eastAsia"/>
          <w:color w:val="FF0000"/>
        </w:rPr>
        <w:t>四</w:t>
      </w:r>
      <w:r w:rsidR="00E473FC" w:rsidRPr="00B53E42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3DBB807D" w14:textId="2D61F8D8" w:rsidR="00211527" w:rsidRPr="00B53E42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地點：</w:t>
      </w:r>
      <w:r w:rsidR="00D457EB" w:rsidRPr="00B53E42">
        <w:rPr>
          <w:rFonts w:ascii="標楷體" w:eastAsia="標楷體" w:hint="eastAsia"/>
        </w:rPr>
        <w:t>創極運動股份有限公司辦公室</w:t>
      </w:r>
      <w:r w:rsidRPr="00B53E42">
        <w:rPr>
          <w:rFonts w:ascii="標楷體" w:eastAsia="標楷體" w:hAnsi="標楷體"/>
          <w:szCs w:val="24"/>
        </w:rPr>
        <w:br/>
        <w:t>地址：</w:t>
      </w:r>
      <w:r w:rsidR="00D457EB" w:rsidRPr="00B53E42">
        <w:rPr>
          <w:rFonts w:ascii="標楷體" w:eastAsia="標楷體" w:hint="eastAsia"/>
        </w:rPr>
        <w:t>新北市新店區北宜路二段1</w:t>
      </w:r>
      <w:r w:rsidR="00D457EB" w:rsidRPr="00B53E42">
        <w:rPr>
          <w:rFonts w:ascii="標楷體" w:eastAsia="標楷體"/>
        </w:rPr>
        <w:t>19</w:t>
      </w:r>
      <w:r w:rsidR="00D457EB" w:rsidRPr="00B53E42">
        <w:rPr>
          <w:rFonts w:ascii="標楷體" w:eastAsia="標楷體" w:hint="eastAsia"/>
        </w:rPr>
        <w:t>號</w:t>
      </w:r>
    </w:p>
    <w:p w14:paraId="6C45C6B4" w14:textId="77777777" w:rsidR="009F5D5A" w:rsidRPr="00B53E42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B53E42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2323913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F26D71" w:rsidRPr="00522605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FE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552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2E5254C8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AD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21C87" w14:textId="77777777" w:rsidR="00F26D71" w:rsidRPr="00522605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564C45BE" w:rsidR="00117F6F" w:rsidRPr="00522605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EE49AD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522605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b/>
          <w:bCs/>
          <w:szCs w:val="24"/>
        </w:rPr>
        <w:t>各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522605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522605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522605">
        <w:rPr>
          <w:rFonts w:ascii="標楷體" w:eastAsia="標楷體"/>
        </w:rPr>
        <w:t>名</w:t>
      </w:r>
      <w:r w:rsidRPr="00522605">
        <w:rPr>
          <w:rFonts w:ascii="標楷體" w:eastAsia="標楷體" w:hAnsi="標楷體" w:hint="eastAsia"/>
          <w:b/>
          <w:bCs/>
          <w:szCs w:val="24"/>
        </w:rPr>
        <w:t>(N/S、W/O皆算，不須打勝一場)</w:t>
      </w:r>
      <w:r w:rsidR="009525D4" w:rsidRPr="00522605">
        <w:rPr>
          <w:rFonts w:ascii="標楷體" w:eastAsia="標楷體" w:hAnsi="標楷體" w:hint="eastAsia"/>
          <w:b/>
          <w:bCs/>
          <w:szCs w:val="24"/>
        </w:rPr>
        <w:t>，</w:t>
      </w:r>
      <w:r w:rsidRPr="00522605">
        <w:rPr>
          <w:rFonts w:ascii="標楷體" w:eastAsia="標楷體" w:hAnsi="標楷體" w:hint="eastAsia"/>
          <w:b/>
          <w:bCs/>
          <w:szCs w:val="24"/>
        </w:rPr>
        <w:t>頒發獎狀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E07DA7"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766EDA61" w14:textId="42D827B6" w:rsidR="0020576F" w:rsidRPr="007A554D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5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</w:t>
      </w:r>
      <w:r w:rsidRPr="00522605">
        <w:rPr>
          <w:rFonts w:ascii="標楷體" w:eastAsia="標楷體" w:hAnsi="標楷體" w:hint="eastAsia"/>
          <w:szCs w:val="24"/>
        </w:rPr>
        <w:lastRenderedPageBreak/>
        <w:t>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Start w:id="7" w:name="_Hlk88212810"/>
      <w:bookmarkEnd w:id="5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8" w:name="_Hlk88212798"/>
            <w:bookmarkEnd w:id="7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9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8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61C5BB0B" w:rsidR="007B4087" w:rsidRPr="00645788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</w:t>
      </w:r>
      <w:r w:rsidRPr="00645788">
        <w:rPr>
          <w:rFonts w:ascii="標楷體" w:eastAsia="標楷體" w:hAnsi="標楷體" w:hint="eastAsia"/>
        </w:rPr>
        <w:t>為112年</w:t>
      </w:r>
      <w:r w:rsidR="00301173" w:rsidRPr="00645788">
        <w:rPr>
          <w:rFonts w:ascii="標楷體" w:eastAsia="標楷體" w:hAnsi="標楷體" w:hint="eastAsia"/>
        </w:rPr>
        <w:t>4</w:t>
      </w:r>
      <w:r w:rsidRPr="00645788">
        <w:rPr>
          <w:rFonts w:ascii="標楷體" w:eastAsia="標楷體" w:hAnsi="標楷體" w:hint="eastAsia"/>
        </w:rPr>
        <w:t>月</w:t>
      </w:r>
      <w:r w:rsidR="00301173" w:rsidRPr="00645788">
        <w:rPr>
          <w:rFonts w:ascii="標楷體" w:eastAsia="標楷體" w:hAnsi="標楷體" w:hint="eastAsia"/>
        </w:rPr>
        <w:t>20</w:t>
      </w:r>
      <w:r w:rsidRPr="00645788">
        <w:rPr>
          <w:rFonts w:ascii="標楷體" w:eastAsia="標楷體" w:hAnsi="標楷體" w:hint="eastAsia"/>
        </w:rPr>
        <w:t>日</w:t>
      </w:r>
    </w:p>
    <w:p w14:paraId="1377D3A1" w14:textId="77777777" w:rsidR="007B4087" w:rsidRPr="00541368" w:rsidRDefault="007B4087" w:rsidP="007B4087">
      <w:pPr>
        <w:pStyle w:val="a8"/>
        <w:numPr>
          <w:ilvl w:val="0"/>
          <w:numId w:val="34"/>
        </w:numPr>
        <w:spacing w:line="240" w:lineRule="atLeast"/>
        <w:ind w:leftChars="0" w:hanging="240"/>
        <w:rPr>
          <w:rFonts w:ascii="標楷體" w:eastAsia="標楷體" w:hAnsi="標楷體"/>
        </w:rPr>
      </w:pPr>
      <w:r w:rsidRPr="00541368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541368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541368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541368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>
        <w:r w:rsidR="007B4087" w:rsidRPr="00541368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541368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 w:history="1">
        <w:r w:rsidR="007B4087" w:rsidRPr="00541368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541368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541368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541368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6">
        <w:r w:rsidR="007B4087" w:rsidRPr="00541368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541368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541368">
        <w:rPr>
          <w:rFonts w:ascii="標楷體" w:eastAsia="標楷體" w:hint="eastAsia"/>
          <w:szCs w:val="24"/>
        </w:rPr>
        <w:t>其   他</w:t>
      </w:r>
      <w:r w:rsidRPr="00541368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7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6430F1EE" w:rsidR="00A56CE7" w:rsidRPr="00522605" w:rsidRDefault="00A56CE7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bookmarkStart w:id="10" w:name="_Hlk43109846"/>
      <w:r w:rsidRPr="00522605">
        <w:rPr>
          <w:rFonts w:ascii="標楷體" w:eastAsia="標楷體" w:hAnsi="標楷體" w:hint="eastAsia"/>
        </w:rPr>
        <w:t xml:space="preserve">為防範新型冠狀病毒傳染，參賽選手、教練及家長請務必配合以下規定，說明 </w:t>
      </w:r>
    </w:p>
    <w:p w14:paraId="2E9E09F2" w14:textId="50D51CB9" w:rsidR="00A56CE7" w:rsidRPr="00522605" w:rsidRDefault="00A56CE7" w:rsidP="00E326B4">
      <w:pPr>
        <w:spacing w:line="320" w:lineRule="exact"/>
        <w:contextualSpacing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Pr="00522605" w:rsidRDefault="00092B02" w:rsidP="00C14A5F">
      <w:pPr>
        <w:pStyle w:val="a8"/>
        <w:numPr>
          <w:ilvl w:val="0"/>
          <w:numId w:val="10"/>
        </w:numPr>
        <w:spacing w:line="320" w:lineRule="exact"/>
        <w:ind w:leftChars="0" w:left="992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590FD0B4" w14:textId="5D988B46" w:rsidR="008D1FAD" w:rsidRPr="00522605" w:rsidRDefault="008D1FAD" w:rsidP="00E326B4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/>
        <w:contextualSpacing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賽事期間，請遵照中央及地方各項最新防疫規定始得出賽。</w:t>
      </w:r>
    </w:p>
    <w:bookmarkEnd w:id="10"/>
    <w:p w14:paraId="5FA75DB3" w14:textId="6CD4E65D" w:rsidR="0060476A" w:rsidRPr="00E42112" w:rsidRDefault="006660E6" w:rsidP="00E42112">
      <w:pPr>
        <w:pStyle w:val="a8"/>
        <w:numPr>
          <w:ilvl w:val="0"/>
          <w:numId w:val="27"/>
        </w:numPr>
        <w:spacing w:line="340" w:lineRule="exact"/>
        <w:ind w:leftChars="0" w:left="993" w:rightChars="50" w:right="120" w:hanging="567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17B1BAED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391300" w:rsidRPr="00522605">
        <w:rPr>
          <w:rFonts w:ascii="標楷體" w:eastAsia="標楷體"/>
        </w:rPr>
        <w:t>112</w:t>
      </w:r>
      <w:r w:rsidRPr="00522605">
        <w:rPr>
          <w:rFonts w:ascii="標楷體" w:eastAsia="標楷體" w:hint="eastAsia"/>
        </w:rPr>
        <w:t>年</w:t>
      </w:r>
      <w:r w:rsidR="00D53450">
        <w:rPr>
          <w:rFonts w:ascii="標楷體" w:eastAsia="標楷體" w:hint="eastAsia"/>
        </w:rPr>
        <w:t>3</w:t>
      </w:r>
      <w:r w:rsidRPr="00522605">
        <w:rPr>
          <w:rFonts w:ascii="標楷體" w:eastAsia="標楷體" w:hint="eastAsia"/>
        </w:rPr>
        <w:t>月</w:t>
      </w:r>
      <w:r w:rsidR="00D53450">
        <w:rPr>
          <w:rFonts w:ascii="標楷體" w:eastAsia="標楷體" w:hint="eastAsia"/>
        </w:rPr>
        <w:t>25</w:t>
      </w:r>
      <w:r w:rsidRPr="00522605">
        <w:rPr>
          <w:rFonts w:ascii="標楷體" w:eastAsia="標楷體" w:hint="eastAsia"/>
        </w:rPr>
        <w:t>日臺教體署競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D53450" w:rsidRPr="00D53450">
        <w:rPr>
          <w:rFonts w:ascii="標楷體" w:eastAsia="標楷體"/>
        </w:rPr>
        <w:t>1120012565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6C59" w14:textId="77777777" w:rsidR="00211625" w:rsidRDefault="00211625" w:rsidP="00963F0E">
      <w:r>
        <w:separator/>
      </w:r>
    </w:p>
  </w:endnote>
  <w:endnote w:type="continuationSeparator" w:id="0">
    <w:p w14:paraId="5513DA7A" w14:textId="77777777" w:rsidR="00211625" w:rsidRDefault="00211625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5A94" w14:textId="77777777" w:rsidR="00211625" w:rsidRDefault="00211625" w:rsidP="00963F0E">
      <w:r>
        <w:separator/>
      </w:r>
    </w:p>
  </w:footnote>
  <w:footnote w:type="continuationSeparator" w:id="0">
    <w:p w14:paraId="7BDFDB6B" w14:textId="77777777" w:rsidR="00211625" w:rsidRDefault="00211625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8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1" w15:restartNumberingAfterBreak="0">
    <w:nsid w:val="50993E2E"/>
    <w:multiLevelType w:val="hybridMultilevel"/>
    <w:tmpl w:val="42BEC624"/>
    <w:lvl w:ilvl="0" w:tplc="F7BEFC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strike w:val="0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3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0259745">
    <w:abstractNumId w:val="21"/>
  </w:num>
  <w:num w:numId="2" w16cid:durableId="1798832773">
    <w:abstractNumId w:val="9"/>
  </w:num>
  <w:num w:numId="3" w16cid:durableId="1022780494">
    <w:abstractNumId w:val="11"/>
  </w:num>
  <w:num w:numId="4" w16cid:durableId="45573567">
    <w:abstractNumId w:val="25"/>
  </w:num>
  <w:num w:numId="5" w16cid:durableId="175309674">
    <w:abstractNumId w:val="26"/>
  </w:num>
  <w:num w:numId="6" w16cid:durableId="173034252">
    <w:abstractNumId w:val="3"/>
  </w:num>
  <w:num w:numId="7" w16cid:durableId="2031099945">
    <w:abstractNumId w:val="30"/>
  </w:num>
  <w:num w:numId="8" w16cid:durableId="711884189">
    <w:abstractNumId w:val="29"/>
  </w:num>
  <w:num w:numId="9" w16cid:durableId="1205170017">
    <w:abstractNumId w:val="2"/>
  </w:num>
  <w:num w:numId="10" w16cid:durableId="709188313">
    <w:abstractNumId w:val="24"/>
  </w:num>
  <w:num w:numId="11" w16cid:durableId="1894198170">
    <w:abstractNumId w:val="17"/>
  </w:num>
  <w:num w:numId="12" w16cid:durableId="830828314">
    <w:abstractNumId w:val="14"/>
  </w:num>
  <w:num w:numId="13" w16cid:durableId="203638971">
    <w:abstractNumId w:val="32"/>
  </w:num>
  <w:num w:numId="14" w16cid:durableId="590505426">
    <w:abstractNumId w:val="20"/>
  </w:num>
  <w:num w:numId="15" w16cid:durableId="1561286773">
    <w:abstractNumId w:val="10"/>
  </w:num>
  <w:num w:numId="16" w16cid:durableId="1985155095">
    <w:abstractNumId w:val="28"/>
  </w:num>
  <w:num w:numId="17" w16cid:durableId="1309089210">
    <w:abstractNumId w:val="23"/>
  </w:num>
  <w:num w:numId="18" w16cid:durableId="1696419117">
    <w:abstractNumId w:val="1"/>
  </w:num>
  <w:num w:numId="19" w16cid:durableId="617369232">
    <w:abstractNumId w:val="19"/>
  </w:num>
  <w:num w:numId="20" w16cid:durableId="1567456012">
    <w:abstractNumId w:val="8"/>
  </w:num>
  <w:num w:numId="21" w16cid:durableId="1061708744">
    <w:abstractNumId w:val="16"/>
  </w:num>
  <w:num w:numId="22" w16cid:durableId="1349520720">
    <w:abstractNumId w:val="31"/>
  </w:num>
  <w:num w:numId="23" w16cid:durableId="552934318">
    <w:abstractNumId w:val="34"/>
  </w:num>
  <w:num w:numId="24" w16cid:durableId="1015570358">
    <w:abstractNumId w:val="6"/>
  </w:num>
  <w:num w:numId="25" w16cid:durableId="719746195">
    <w:abstractNumId w:val="4"/>
  </w:num>
  <w:num w:numId="26" w16cid:durableId="638994226">
    <w:abstractNumId w:val="5"/>
  </w:num>
  <w:num w:numId="27" w16cid:durableId="2039502143">
    <w:abstractNumId w:val="18"/>
  </w:num>
  <w:num w:numId="28" w16cid:durableId="1084691847">
    <w:abstractNumId w:val="12"/>
  </w:num>
  <w:num w:numId="29" w16cid:durableId="1072504127">
    <w:abstractNumId w:val="33"/>
  </w:num>
  <w:num w:numId="30" w16cid:durableId="172382764">
    <w:abstractNumId w:val="22"/>
  </w:num>
  <w:num w:numId="31" w16cid:durableId="203447832">
    <w:abstractNumId w:val="7"/>
  </w:num>
  <w:num w:numId="32" w16cid:durableId="1940747545">
    <w:abstractNumId w:val="27"/>
  </w:num>
  <w:num w:numId="33" w16cid:durableId="291446766">
    <w:abstractNumId w:val="35"/>
  </w:num>
  <w:num w:numId="34" w16cid:durableId="1571117816">
    <w:abstractNumId w:val="13"/>
  </w:num>
  <w:num w:numId="35" w16cid:durableId="342510081">
    <w:abstractNumId w:val="15"/>
  </w:num>
  <w:num w:numId="36" w16cid:durableId="132562423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B2232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A41"/>
    <w:rsid w:val="00117F6F"/>
    <w:rsid w:val="00121164"/>
    <w:rsid w:val="00124C77"/>
    <w:rsid w:val="00126732"/>
    <w:rsid w:val="00132E2E"/>
    <w:rsid w:val="00134466"/>
    <w:rsid w:val="00134F0D"/>
    <w:rsid w:val="00145901"/>
    <w:rsid w:val="00154C85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81C61"/>
    <w:rsid w:val="00183DF5"/>
    <w:rsid w:val="0018538E"/>
    <w:rsid w:val="00190EEF"/>
    <w:rsid w:val="00193FD1"/>
    <w:rsid w:val="001A7FD4"/>
    <w:rsid w:val="001B0A09"/>
    <w:rsid w:val="001C1334"/>
    <w:rsid w:val="001C2A2A"/>
    <w:rsid w:val="001C2AAA"/>
    <w:rsid w:val="001C488E"/>
    <w:rsid w:val="001D053A"/>
    <w:rsid w:val="001D63AB"/>
    <w:rsid w:val="001E266A"/>
    <w:rsid w:val="00203426"/>
    <w:rsid w:val="00204245"/>
    <w:rsid w:val="0020576F"/>
    <w:rsid w:val="00207B6B"/>
    <w:rsid w:val="0021060B"/>
    <w:rsid w:val="00210BB9"/>
    <w:rsid w:val="00211527"/>
    <w:rsid w:val="00211625"/>
    <w:rsid w:val="0021214D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C3688"/>
    <w:rsid w:val="002C6C1C"/>
    <w:rsid w:val="002D0FC7"/>
    <w:rsid w:val="002D64FA"/>
    <w:rsid w:val="002E2B86"/>
    <w:rsid w:val="002F740A"/>
    <w:rsid w:val="003001DF"/>
    <w:rsid w:val="00301173"/>
    <w:rsid w:val="003050CC"/>
    <w:rsid w:val="003053E5"/>
    <w:rsid w:val="0031705F"/>
    <w:rsid w:val="00321190"/>
    <w:rsid w:val="00323FF3"/>
    <w:rsid w:val="00332BA6"/>
    <w:rsid w:val="00341838"/>
    <w:rsid w:val="00341978"/>
    <w:rsid w:val="00351DA7"/>
    <w:rsid w:val="00357F6E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D6E3C"/>
    <w:rsid w:val="003E079B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33BE2"/>
    <w:rsid w:val="0044120E"/>
    <w:rsid w:val="004420A9"/>
    <w:rsid w:val="004439D2"/>
    <w:rsid w:val="004466DF"/>
    <w:rsid w:val="00453220"/>
    <w:rsid w:val="004547A6"/>
    <w:rsid w:val="004610A0"/>
    <w:rsid w:val="00464E74"/>
    <w:rsid w:val="00493094"/>
    <w:rsid w:val="00493D24"/>
    <w:rsid w:val="00496597"/>
    <w:rsid w:val="004A01C4"/>
    <w:rsid w:val="004A0209"/>
    <w:rsid w:val="004A3EC3"/>
    <w:rsid w:val="004A69E1"/>
    <w:rsid w:val="004C30E6"/>
    <w:rsid w:val="004C53A1"/>
    <w:rsid w:val="004D1EC9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172C"/>
    <w:rsid w:val="00522605"/>
    <w:rsid w:val="00524F54"/>
    <w:rsid w:val="005359D4"/>
    <w:rsid w:val="00541368"/>
    <w:rsid w:val="00541FCD"/>
    <w:rsid w:val="005452C4"/>
    <w:rsid w:val="0054538D"/>
    <w:rsid w:val="005459E2"/>
    <w:rsid w:val="00555894"/>
    <w:rsid w:val="005659C8"/>
    <w:rsid w:val="00565F06"/>
    <w:rsid w:val="005718BA"/>
    <w:rsid w:val="005846CD"/>
    <w:rsid w:val="0058595F"/>
    <w:rsid w:val="005A2F33"/>
    <w:rsid w:val="005A56D1"/>
    <w:rsid w:val="005A69D5"/>
    <w:rsid w:val="005B4592"/>
    <w:rsid w:val="005D0D52"/>
    <w:rsid w:val="005D2028"/>
    <w:rsid w:val="005D22E4"/>
    <w:rsid w:val="005D6967"/>
    <w:rsid w:val="005D7E41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4993"/>
    <w:rsid w:val="00626E15"/>
    <w:rsid w:val="006279FA"/>
    <w:rsid w:val="006331B4"/>
    <w:rsid w:val="00634FA0"/>
    <w:rsid w:val="00645788"/>
    <w:rsid w:val="00645D73"/>
    <w:rsid w:val="00660026"/>
    <w:rsid w:val="006660E6"/>
    <w:rsid w:val="00670007"/>
    <w:rsid w:val="00672EE2"/>
    <w:rsid w:val="006768CA"/>
    <w:rsid w:val="00677D80"/>
    <w:rsid w:val="00681A5B"/>
    <w:rsid w:val="006A0868"/>
    <w:rsid w:val="006A0973"/>
    <w:rsid w:val="006A141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413D6"/>
    <w:rsid w:val="0075230F"/>
    <w:rsid w:val="0075328E"/>
    <w:rsid w:val="0077113D"/>
    <w:rsid w:val="007735A7"/>
    <w:rsid w:val="007834C2"/>
    <w:rsid w:val="00787679"/>
    <w:rsid w:val="00790D7D"/>
    <w:rsid w:val="00796132"/>
    <w:rsid w:val="007A554D"/>
    <w:rsid w:val="007B2D10"/>
    <w:rsid w:val="007B4087"/>
    <w:rsid w:val="007B74CA"/>
    <w:rsid w:val="007C5EBB"/>
    <w:rsid w:val="007D3894"/>
    <w:rsid w:val="007D7AAC"/>
    <w:rsid w:val="007E308F"/>
    <w:rsid w:val="007E7727"/>
    <w:rsid w:val="007E79AB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2DF4"/>
    <w:rsid w:val="00835EC0"/>
    <w:rsid w:val="008367D9"/>
    <w:rsid w:val="008403D6"/>
    <w:rsid w:val="00842450"/>
    <w:rsid w:val="00852A67"/>
    <w:rsid w:val="0085655F"/>
    <w:rsid w:val="0087080D"/>
    <w:rsid w:val="00871A2C"/>
    <w:rsid w:val="00873F83"/>
    <w:rsid w:val="00885D10"/>
    <w:rsid w:val="0088611C"/>
    <w:rsid w:val="0089319D"/>
    <w:rsid w:val="008A2F19"/>
    <w:rsid w:val="008A428E"/>
    <w:rsid w:val="008A5C50"/>
    <w:rsid w:val="008A71A9"/>
    <w:rsid w:val="008C01F9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0C95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14E5"/>
    <w:rsid w:val="009F2BD0"/>
    <w:rsid w:val="009F5D5A"/>
    <w:rsid w:val="009F7F29"/>
    <w:rsid w:val="00A03B5B"/>
    <w:rsid w:val="00A33ECE"/>
    <w:rsid w:val="00A365AC"/>
    <w:rsid w:val="00A4100C"/>
    <w:rsid w:val="00A42327"/>
    <w:rsid w:val="00A439B7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4E47"/>
    <w:rsid w:val="00B44FB0"/>
    <w:rsid w:val="00B51122"/>
    <w:rsid w:val="00B53B74"/>
    <w:rsid w:val="00B53E42"/>
    <w:rsid w:val="00B62D4F"/>
    <w:rsid w:val="00B70AE2"/>
    <w:rsid w:val="00B76D0B"/>
    <w:rsid w:val="00B8334C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F317D"/>
    <w:rsid w:val="00C00502"/>
    <w:rsid w:val="00C0594B"/>
    <w:rsid w:val="00C06276"/>
    <w:rsid w:val="00C12792"/>
    <w:rsid w:val="00C14718"/>
    <w:rsid w:val="00C14A5F"/>
    <w:rsid w:val="00C264B5"/>
    <w:rsid w:val="00C46B15"/>
    <w:rsid w:val="00C537F7"/>
    <w:rsid w:val="00C54E5D"/>
    <w:rsid w:val="00C61382"/>
    <w:rsid w:val="00C65A29"/>
    <w:rsid w:val="00C73523"/>
    <w:rsid w:val="00C7395F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D32"/>
    <w:rsid w:val="00D33EFE"/>
    <w:rsid w:val="00D35094"/>
    <w:rsid w:val="00D37209"/>
    <w:rsid w:val="00D40A8D"/>
    <w:rsid w:val="00D43750"/>
    <w:rsid w:val="00D4567B"/>
    <w:rsid w:val="00D457EB"/>
    <w:rsid w:val="00D4765D"/>
    <w:rsid w:val="00D53450"/>
    <w:rsid w:val="00D61A1E"/>
    <w:rsid w:val="00D86414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E025CB"/>
    <w:rsid w:val="00E03F25"/>
    <w:rsid w:val="00E04D13"/>
    <w:rsid w:val="00E07DA7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23A7"/>
    <w:rsid w:val="00E5572B"/>
    <w:rsid w:val="00E65F45"/>
    <w:rsid w:val="00E67293"/>
    <w:rsid w:val="00E70613"/>
    <w:rsid w:val="00E7083E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  <w:style w:type="character" w:styleId="ac">
    <w:name w:val="Emphasis"/>
    <w:basedOn w:val="a0"/>
    <w:uiPriority w:val="20"/>
    <w:qFormat/>
    <w:rsid w:val="00B76D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44F1-DF0C-4AB1-B8C3-26BF2281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840</Words>
  <Characters>4793</Characters>
  <Application>Microsoft Office Word</Application>
  <DocSecurity>0</DocSecurity>
  <Lines>39</Lines>
  <Paragraphs>11</Paragraphs>
  <ScaleCrop>false</ScaleCrop>
  <Company>CMT</Company>
  <LinksUpToDate>false</LinksUpToDate>
  <CharactersWithSpaces>5622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11</cp:revision>
  <cp:lastPrinted>2022-03-17T03:15:00Z</cp:lastPrinted>
  <dcterms:created xsi:type="dcterms:W3CDTF">2023-03-14T07:11:00Z</dcterms:created>
  <dcterms:modified xsi:type="dcterms:W3CDTF">2023-03-29T04:55:00Z</dcterms:modified>
</cp:coreProperties>
</file>