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400" w:lineRule="auto"/>
        <w:jc w:val="center"/>
        <w:rPr>
          <w:rFonts w:ascii="DFKai-SB" w:cs="DFKai-SB" w:hAnsi="DFKai-SB" w:eastAsia="DFKai-SB"/>
          <w:b w:val="1"/>
          <w:bCs w:val="1"/>
          <w:sz w:val="32"/>
          <w:szCs w:val="32"/>
        </w:rPr>
      </w:pPr>
      <w:r>
        <w:rPr>
          <w:rFonts w:ascii="DFKai-SB" w:cs="DFKai-SB" w:hAnsi="DFKai-SB" w:eastAsia="DFKai-SB"/>
          <w:b w:val="1"/>
          <w:bCs w:val="1"/>
          <w:sz w:val="32"/>
          <w:szCs w:val="32"/>
          <w:rtl w:val="0"/>
          <w:lang w:val="en-US"/>
        </w:rPr>
        <w:t>2024</w:t>
      </w:r>
      <w:r>
        <w:rPr>
          <w:rFonts w:ascii="DFKai-SB" w:cs="DFKai-SB" w:hAnsi="DFKai-SB" w:eastAsia="DFKai-SB"/>
          <w:b w:val="1"/>
          <w:bCs w:val="1"/>
          <w:sz w:val="32"/>
          <w:szCs w:val="32"/>
          <w:rtl w:val="0"/>
          <w:lang w:val="en-US"/>
        </w:rPr>
        <w:t>年中華民國網球協會</w:t>
      </w:r>
      <w:r>
        <w:rPr>
          <w:rFonts w:ascii="DFKai-SB" w:cs="DFKai-SB" w:hAnsi="DFKai-SB" w:eastAsia="DFKai-SB"/>
          <w:b w:val="1"/>
          <w:bCs w:val="1"/>
          <w:sz w:val="32"/>
          <w:szCs w:val="32"/>
        </w:rPr>
        <w:br w:type="textWrapping"/>
      </w:r>
      <w:r>
        <w:rPr>
          <w:rFonts w:ascii="DFKai-SB" w:cs="DFKai-SB" w:hAnsi="DFKai-SB" w:eastAsia="DFKai-SB"/>
          <w:b w:val="1"/>
          <w:bCs w:val="1"/>
          <w:sz w:val="32"/>
          <w:szCs w:val="32"/>
          <w:rtl w:val="0"/>
          <w:lang w:val="en-US"/>
        </w:rPr>
        <w:t>優秀潛力選手計畫菁英選手訓練站</w:t>
      </w:r>
    </w:p>
    <w:p>
      <w:pPr>
        <w:pStyle w:val="Normal.0"/>
        <w:spacing w:after="120" w:line="300" w:lineRule="auto"/>
        <w:rPr>
          <w:rFonts w:ascii="DFKai-SB" w:cs="DFKai-SB" w:hAnsi="DFKai-SB" w:eastAsia="DFKai-SB"/>
          <w:sz w:val="26"/>
          <w:szCs w:val="26"/>
        </w:rPr>
      </w:pPr>
    </w:p>
    <w:p>
      <w:pPr>
        <w:pStyle w:val="Normal.0"/>
        <w:spacing w:after="120"/>
        <w:rPr>
          <w:rFonts w:ascii="DFKai-SB" w:cs="DFKai-SB" w:hAnsi="DFKai-SB" w:eastAsia="DFKai-SB"/>
          <w:b w:val="1"/>
          <w:bCs w:val="1"/>
          <w:sz w:val="36"/>
          <w:szCs w:val="36"/>
        </w:rPr>
      </w:pPr>
      <w:r>
        <w:rPr>
          <w:rFonts w:ascii="DFKai-SB" w:cs="DFKai-SB" w:hAnsi="DFKai-SB" w:eastAsia="DFKai-SB"/>
          <w:b w:val="1"/>
          <w:bCs w:val="1"/>
          <w:sz w:val="36"/>
          <w:szCs w:val="36"/>
          <w:rtl w:val="0"/>
          <w:lang w:val="en-US"/>
        </w:rPr>
        <w:t>訓練站公約</w:t>
      </w:r>
    </w:p>
    <w:p>
      <w:pPr>
        <w:pStyle w:val="Normal.0"/>
        <w:numPr>
          <w:ilvl w:val="0"/>
          <w:numId w:val="2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本訓練站提供免費場地、練習球、教練指導與安排陪練對象。</w:t>
      </w:r>
    </w:p>
    <w:p>
      <w:pPr>
        <w:pStyle w:val="Normal.0"/>
        <w:numPr>
          <w:ilvl w:val="0"/>
          <w:numId w:val="2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</w:pP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在國內期間未長期在訓練站訓練的優秀、潛力選手（一週訓練不低於三天），訓練站提供訓練場地、訓練球、安排訓練對象，不安排固定教練指導，優、潛選手可安排自己教練到場指導。</w:t>
      </w:r>
    </w:p>
    <w:p>
      <w:pPr>
        <w:pStyle w:val="Normal.0"/>
        <w:numPr>
          <w:ilvl w:val="0"/>
          <w:numId w:val="2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需自備水壺自取飲用水、練習時個人裝備以及所需盥洗用品。</w:t>
      </w:r>
    </w:p>
    <w:p>
      <w:pPr>
        <w:pStyle w:val="Normal.0"/>
        <w:numPr>
          <w:ilvl w:val="0"/>
          <w:numId w:val="2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本訓練站不提供膳宿，請選手及相關人員自行處理膳宿相關事宜。</w:t>
      </w:r>
      <w:r>
        <w:rPr>
          <w:rFonts w:ascii="DFKai-SB" w:cs="DFKai-SB" w:hAnsi="DFKai-SB" w:eastAsia="DFKai-SB"/>
          <w:sz w:val="26"/>
          <w:szCs w:val="26"/>
        </w:rPr>
        <w:br w:type="textWrapping"/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(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國內訓練膳宿可於優秀潛力計畫核銷，辦法請洽本會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)</w:t>
      </w:r>
    </w:p>
    <w:p>
      <w:pPr>
        <w:pStyle w:val="Normal.0"/>
        <w:numPr>
          <w:ilvl w:val="0"/>
          <w:numId w:val="2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保險規定：本會將於訓練期間為參加本訓練站選手及教練投保公共意外責任險，為保障自身權益，請務必自行投保旅行平安險，並檢附保單影本方可參與訓練。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(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保險費可於優秀潛力計畫核銷，辦法請洽本會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)</w:t>
      </w:r>
    </w:p>
    <w:p>
      <w:pPr>
        <w:pStyle w:val="Normal.0"/>
        <w:numPr>
          <w:ilvl w:val="0"/>
          <w:numId w:val="4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場地及雨天備案由教練團全權調配使用</w:t>
      </w:r>
      <w:r>
        <w:rPr>
          <w:rFonts w:ascii="PMingLiu" w:cs="PMingLiu" w:hAnsi="PMingLiu" w:eastAsia="PMingLiu"/>
          <w:sz w:val="26"/>
          <w:szCs w:val="26"/>
          <w:rtl w:val="0"/>
          <w:lang w:val="en-US"/>
        </w:rPr>
        <w:t>。</w:t>
      </w:r>
    </w:p>
    <w:p>
      <w:pPr>
        <w:pStyle w:val="Normal.0"/>
        <w:numPr>
          <w:ilvl w:val="0"/>
          <w:numId w:val="4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請於訓練前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3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個工作天，向總教練提出申請，並配合教練安排之訓練時間，清楚告知於網中訓練日期與出國比賽時間，以利教練安排每日訓練，不依規定者恕不受理</w:t>
      </w:r>
      <w:r>
        <w:rPr>
          <w:rFonts w:ascii="PMingLiu" w:cs="PMingLiu" w:hAnsi="PMingLiu" w:eastAsia="PMingLiu"/>
          <w:sz w:val="26"/>
          <w:szCs w:val="26"/>
          <w:rtl w:val="0"/>
          <w:lang w:val="en-US"/>
        </w:rPr>
        <w:t>。</w:t>
      </w:r>
    </w:p>
    <w:p>
      <w:pPr>
        <w:pStyle w:val="Normal.0"/>
        <w:numPr>
          <w:ilvl w:val="0"/>
          <w:numId w:val="4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申請選手均須每日向在場教練報到</w:t>
      </w:r>
      <w:r>
        <w:rPr>
          <w:rFonts w:ascii="PMingLiu" w:cs="PMingLiu" w:hAnsi="PMingLiu" w:eastAsia="PMingLiu"/>
          <w:sz w:val="26"/>
          <w:szCs w:val="26"/>
          <w:rtl w:val="0"/>
          <w:lang w:val="en-US"/>
        </w:rPr>
        <w:t>。</w:t>
      </w:r>
    </w:p>
    <w:p>
      <w:pPr>
        <w:pStyle w:val="Normal.0"/>
        <w:numPr>
          <w:ilvl w:val="0"/>
          <w:numId w:val="4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參與本訓練站訓練者請注意言行舉止，共同維護環境整潔，並遵從教練安排之訓練規劃。</w:t>
      </w:r>
    </w:p>
    <w:p>
      <w:pPr>
        <w:pStyle w:val="Normal.0"/>
        <w:numPr>
          <w:ilvl w:val="0"/>
          <w:numId w:val="4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申請選手於訓練期間可免費使用體適能中心，請於櫃台出示身分證件並簽到，且遵守體適能中心使用規範，個人體能教練或其相關個人指導教練不得指導非本訓練站之選手</w:t>
      </w:r>
      <w:r>
        <w:rPr>
          <w:rFonts w:ascii="PMingLiu" w:cs="PMingLiu" w:hAnsi="PMingLiu" w:eastAsia="PMingLiu"/>
          <w:sz w:val="26"/>
          <w:szCs w:val="26"/>
          <w:rtl w:val="0"/>
          <w:lang w:val="en-US"/>
        </w:rPr>
        <w:t>。</w:t>
      </w:r>
    </w:p>
    <w:p>
      <w:pPr>
        <w:pStyle w:val="Normal.0"/>
        <w:numPr>
          <w:ilvl w:val="0"/>
          <w:numId w:val="4"/>
        </w:numPr>
        <w:bidi w:val="0"/>
        <w:spacing w:after="120" w:line="300" w:lineRule="auto"/>
        <w:ind w:right="0"/>
        <w:jc w:val="left"/>
        <w:rPr>
          <w:rFonts w:ascii="DFKai-SB" w:cs="DFKai-SB" w:hAnsi="DFKai-SB" w:eastAsia="DFKai-SB"/>
          <w:sz w:val="26"/>
          <w:szCs w:val="26"/>
          <w:rtl w:val="0"/>
          <w:lang w:val="en-US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本會保留訓練站所有規定修改權利，如有未盡事宜，另訂定之。</w:t>
      </w:r>
    </w:p>
    <w:p>
      <w:pPr>
        <w:pStyle w:val="Normal.0"/>
        <w:spacing w:line="320" w:lineRule="auto"/>
        <w:rPr>
          <w:rFonts w:ascii="DFKai-SB" w:cs="DFKai-SB" w:hAnsi="DFKai-SB" w:eastAsia="DFKai-SB"/>
          <w:sz w:val="26"/>
          <w:szCs w:val="26"/>
        </w:rPr>
      </w:pPr>
    </w:p>
    <w:p>
      <w:pPr>
        <w:pStyle w:val="Normal.0"/>
        <w:spacing w:line="320" w:lineRule="auto"/>
        <w:rPr>
          <w:rFonts w:ascii="DFKai-SB" w:cs="DFKai-SB" w:hAnsi="DFKai-SB" w:eastAsia="DFKai-SB"/>
          <w:sz w:val="26"/>
          <w:szCs w:val="26"/>
        </w:rPr>
      </w:pPr>
    </w:p>
    <w:p>
      <w:pPr>
        <w:pStyle w:val="Normal.0"/>
        <w:spacing w:line="320" w:lineRule="auto"/>
        <w:rPr>
          <w:rFonts w:ascii="DFKai-SB" w:cs="DFKai-SB" w:hAnsi="DFKai-SB" w:eastAsia="DFKai-SB"/>
          <w:sz w:val="26"/>
          <w:szCs w:val="26"/>
        </w:rPr>
      </w:pP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 xml:space="preserve">本人 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 xml:space="preserve">_______________ </w:t>
      </w:r>
      <w:r>
        <w:rPr>
          <w:rFonts w:ascii="DFKai-SB" w:cs="DFKai-SB" w:hAnsi="DFKai-SB" w:eastAsia="DFKai-SB"/>
          <w:sz w:val="26"/>
          <w:szCs w:val="26"/>
          <w:rtl w:val="0"/>
          <w:lang w:val="en-US"/>
        </w:rPr>
        <w:t>已詳讀上述國家訓練站規範並願意遵守，如違反相關規範，將放棄參與國家訓練站之權利，不得有異議。</w:t>
      </w:r>
    </w:p>
    <w:p>
      <w:pPr>
        <w:pStyle w:val="Normal.0"/>
        <w:spacing w:line="320" w:lineRule="auto"/>
        <w:rPr>
          <w:rFonts w:ascii="DFKai-SB" w:cs="DFKai-SB" w:hAnsi="DFKai-SB" w:eastAsia="DFKai-SB"/>
          <w:sz w:val="26"/>
          <w:szCs w:val="26"/>
        </w:rPr>
      </w:pPr>
    </w:p>
    <w:p>
      <w:pPr>
        <w:pStyle w:val="Normal.0"/>
        <w:spacing w:line="320" w:lineRule="auto"/>
        <w:rPr>
          <w:rFonts w:ascii="DFKai-SB" w:cs="DFKai-SB" w:hAnsi="DFKai-SB" w:eastAsia="DFKai-SB"/>
          <w:sz w:val="26"/>
          <w:szCs w:val="26"/>
        </w:rPr>
      </w:pPr>
    </w:p>
    <w:p>
      <w:pPr>
        <w:pStyle w:val="Normal.0"/>
        <w:spacing w:line="320" w:lineRule="auto"/>
        <w:rPr>
          <w:rFonts w:ascii="DFKai-SB" w:cs="DFKai-SB" w:hAnsi="DFKai-SB" w:eastAsia="DFKai-SB"/>
          <w:sz w:val="32"/>
          <w:szCs w:val="32"/>
        </w:rPr>
      </w:pPr>
      <w:r>
        <w:rPr>
          <w:rFonts w:ascii="DFKai-SB" w:cs="DFKai-SB" w:hAnsi="DFKai-SB" w:eastAsia="DFKai-SB"/>
          <w:sz w:val="32"/>
          <w:szCs w:val="32"/>
          <w:rtl w:val="0"/>
          <w:lang w:val="en-US"/>
        </w:rPr>
        <w:t>申請選手簽名：</w:t>
      </w:r>
      <w:r>
        <w:rPr>
          <w:rFonts w:ascii="DFKai-SB" w:cs="DFKai-SB" w:hAnsi="DFKai-SB" w:eastAsia="DFKai-SB"/>
          <w:sz w:val="32"/>
          <w:szCs w:val="32"/>
          <w:rtl w:val="0"/>
          <w:lang w:val="en-US"/>
        </w:rPr>
        <w:t>_______________</w:t>
      </w:r>
    </w:p>
    <w:p>
      <w:pPr>
        <w:pStyle w:val="Normal.0"/>
        <w:spacing w:line="320" w:lineRule="auto"/>
        <w:rPr>
          <w:rFonts w:ascii="Microsoft JhengHei" w:cs="Microsoft JhengHei" w:hAnsi="Microsoft JhengHei" w:eastAsia="Microsoft JhengHei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320" w:lineRule="auto"/>
        <w:rPr>
          <w:rFonts w:ascii="Microsoft JhengHei" w:cs="Microsoft JhengHei" w:hAnsi="Microsoft JhengHei" w:eastAsia="Microsoft JhengHei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DFKai-SB" w:cs="DFKai-SB" w:hAnsi="DFKai-SB" w:eastAsia="DFKai-SB"/>
          <w:sz w:val="32"/>
          <w:szCs w:val="32"/>
          <w:rtl w:val="0"/>
          <w:lang w:val="en-US"/>
        </w:rPr>
        <w:t>日期：</w:t>
      </w:r>
      <w:r>
        <w:rPr>
          <w:rFonts w:ascii="DFKai-SB" w:cs="DFKai-SB" w:hAnsi="DFKai-SB" w:eastAsia="DFKai-SB"/>
          <w:sz w:val="32"/>
          <w:szCs w:val="32"/>
          <w:rtl w:val="0"/>
          <w:lang w:val="en-US"/>
        </w:rPr>
        <w:t>_______________</w:t>
      </w:r>
    </w:p>
    <w:p>
      <w:pPr>
        <w:pStyle w:val="Normal.0"/>
        <w:spacing w:after="120" w:line="320" w:lineRule="auto"/>
        <w:jc w:val="center"/>
      </w:pPr>
      <w:r>
        <w:rPr>
          <w:rFonts w:ascii="DFKai-SB" w:cs="DFKai-SB" w:hAnsi="DFKai-SB" w:eastAsia="DFKai-SB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709" w:right="1701" w:bottom="709" w:left="1701" w:header="227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ingFang TC Regular">
    <w:charset w:val="00"/>
    <w:family w:val="roman"/>
    <w:pitch w:val="default"/>
  </w:font>
  <w:font w:name="DFKai-SB">
    <w:charset w:val="00"/>
    <w:family w:val="roman"/>
    <w:pitch w:val="default"/>
  </w:font>
  <w:font w:name="Helvetica">
    <w:charset w:val="00"/>
    <w:family w:val="roman"/>
    <w:pitch w:val="default"/>
  </w:font>
  <w:font w:name="PMingLiu">
    <w:charset w:val="00"/>
    <w:family w:val="roman"/>
    <w:pitch w:val="default"/>
  </w:font>
  <w:font w:name="Microsoft Jheng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153"/>
        <w:tab w:val="right" w:pos="830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270511</wp:posOffset>
          </wp:positionH>
          <wp:positionV relativeFrom="page">
            <wp:posOffset>180975</wp:posOffset>
          </wp:positionV>
          <wp:extent cx="1488440" cy="1114425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6379210</wp:posOffset>
          </wp:positionH>
          <wp:positionV relativeFrom="page">
            <wp:posOffset>130812</wp:posOffset>
          </wp:positionV>
          <wp:extent cx="924560" cy="1114425"/>
          <wp:effectExtent l="0" t="0" r="0" b="0"/>
          <wp:wrapNone/>
          <wp:docPr id="1073741826" name="officeArt object" descr="網中LOGO(方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網中LOGO(方)" descr="網中LOGO(方)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●"/>
      <w:lvlJc w:val="left"/>
      <w:pPr>
        <w:ind w:left="48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9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4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2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4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8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36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8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3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2"/>
  </w:abstractNum>
  <w:abstractNum w:abstractNumId="3">
    <w:multiLevelType w:val="hybridMultilevel"/>
    <w:styleLink w:val="已輸入樣式 2"/>
    <w:lvl w:ilvl="0">
      <w:start w:val="1"/>
      <w:numFmt w:val="bullet"/>
      <w:suff w:val="tab"/>
      <w:lvlText w:val="●"/>
      <w:lvlJc w:val="left"/>
      <w:pPr>
        <w:ind w:left="482" w:hanging="4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962" w:hanging="4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442" w:hanging="4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22" w:hanging="4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402" w:hanging="4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882" w:hanging="4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362" w:hanging="4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842" w:hanging="4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322" w:hanging="4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PingFang TC Regular" w:hAnsi="PingFang TC Regular" w:eastAsia="PingFang T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已輸入樣式 1">
    <w:name w:val="已輸入樣式 1"/>
    <w:pPr>
      <w:numPr>
        <w:numId w:val="1"/>
      </w:numPr>
    </w:pPr>
  </w:style>
  <w:style w:type="numbering" w:styleId="已輸入樣式 2">
    <w:name w:val="已輸入樣式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